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D4E" w:rsidRDefault="001D501C">
      <w:pPr>
        <w:pStyle w:val="KonuBal"/>
        <w:spacing w:after="240"/>
      </w:pPr>
      <w:r>
        <w:t>PU Çelik Telli Açık Uçlu Zaman Kayışları</w:t>
      </w:r>
    </w:p>
    <w:p w:rsidR="00490D4E" w:rsidRDefault="001D501C">
      <w:pPr>
        <w:spacing w:after="120" w:line="269" w:lineRule="auto"/>
        <w:rPr>
          <w:rFonts w:hint="eastAsia"/>
        </w:rPr>
      </w:pPr>
      <w:bookmarkStart w:id="0" w:name="_GoBack"/>
      <w:bookmarkEnd w:id="0"/>
      <w:r>
        <w:t xml:space="preserve">Açık uçlu poliüretan zaman kayışları; lineer hareket, hassas konumlandırma, kaldırma ve senkron taşıma sistemlerinde kullanılan, rulo halinde üretilen ve boy kesilerek </w:t>
      </w:r>
      <w:r>
        <w:t>uygulamaya alınan güç aktarım elemanlarıdır. Termoplastik poliüretan gövde aşınma dayanımı sağlar; kayış eksenine paralel çelik kordlar ise düşük uzama, yüksek rijitlik ve tekrarlanabilir konumlandırma sunar.</w:t>
      </w:r>
    </w:p>
    <w:p w:rsidR="00490D4E" w:rsidRDefault="001D501C">
      <w:pPr>
        <w:spacing w:after="120" w:line="269" w:lineRule="auto"/>
        <w:rPr>
          <w:rFonts w:hint="eastAsia"/>
        </w:rPr>
      </w:pPr>
      <w:r>
        <w:t>Bu ürün grubu, kalıpta sonsuz üretilen kayışlar</w:t>
      </w:r>
      <w:r>
        <w:t>la aynı şekilde değerlendirilmemelidir. Açık uçlu kayışta uçlar çoğunlukla bir kızağa veya hareketli elemana kelepçe plakalarıyla sabitlenir. Uçların kaynakla birleştirildiği kayışlar ise açık uçlu kayıştan üretilmiş ekli sonsuz kayışlardır; taşıma kapasit</w:t>
      </w:r>
      <w:r>
        <w:t>esi ve kullanım şekli gerçek sonsuz kayıştan farklıdır.</w:t>
      </w:r>
    </w:p>
    <w:p w:rsidR="00490D4E" w:rsidRDefault="001D501C">
      <w:pPr>
        <w:pStyle w:val="Balk1"/>
      </w:pPr>
      <w:r>
        <w:t>Başlıca Avantajlar</w:t>
      </w:r>
    </w:p>
    <w:p w:rsidR="00490D4E" w:rsidRDefault="001D501C">
      <w:pPr>
        <w:pStyle w:val="ListeMaddemi"/>
        <w:spacing w:after="40" w:line="259" w:lineRule="auto"/>
        <w:rPr>
          <w:rFonts w:hint="eastAsia"/>
        </w:rPr>
      </w:pPr>
      <w:r>
        <w:t>Uzun merkez mesafelerinde hassas ve kaymasız lineer hareket</w:t>
      </w:r>
    </w:p>
    <w:p w:rsidR="00490D4E" w:rsidRDefault="001D501C">
      <w:pPr>
        <w:pStyle w:val="ListeMaddemi"/>
        <w:spacing w:after="40" w:line="259" w:lineRule="auto"/>
        <w:rPr>
          <w:rFonts w:hint="eastAsia"/>
        </w:rPr>
      </w:pPr>
      <w:r>
        <w:t>Çelik kord yapısıyla düşük elastik uzama ve yüksek konumlandırma doğruluğu</w:t>
      </w:r>
    </w:p>
    <w:p w:rsidR="00490D4E" w:rsidRDefault="001D501C">
      <w:pPr>
        <w:pStyle w:val="ListeMaddemi"/>
        <w:spacing w:after="40" w:line="259" w:lineRule="auto"/>
        <w:rPr>
          <w:rFonts w:hint="eastAsia"/>
        </w:rPr>
      </w:pPr>
      <w:r>
        <w:t>PU gövde sayesinde yüksek aşınma direnci ve te</w:t>
      </w:r>
      <w:r>
        <w:t>miz çalışma</w:t>
      </w:r>
    </w:p>
    <w:p w:rsidR="00490D4E" w:rsidRDefault="001D501C">
      <w:pPr>
        <w:pStyle w:val="ListeMaddemi"/>
        <w:spacing w:after="40" w:line="259" w:lineRule="auto"/>
        <w:rPr>
          <w:rFonts w:hint="eastAsia"/>
        </w:rPr>
      </w:pPr>
      <w:r>
        <w:t>Yağlama gerektirmeyen, düşük bakım ihtiyacına sahip sistem tasarımı</w:t>
      </w:r>
    </w:p>
    <w:p w:rsidR="00490D4E" w:rsidRDefault="001D501C">
      <w:pPr>
        <w:pStyle w:val="ListeMaddemi"/>
        <w:spacing w:after="40" w:line="259" w:lineRule="auto"/>
        <w:rPr>
          <w:rFonts w:hint="eastAsia"/>
        </w:rPr>
      </w:pPr>
      <w:r>
        <w:t>Dişli, sırt veya iki yüzey için kumaş kaplama seçenekleri</w:t>
      </w:r>
    </w:p>
    <w:p w:rsidR="00490D4E" w:rsidRDefault="001D501C">
      <w:pPr>
        <w:pStyle w:val="ListeMaddemi"/>
        <w:spacing w:after="40" w:line="259" w:lineRule="auto"/>
        <w:rPr>
          <w:rFonts w:hint="eastAsia"/>
        </w:rPr>
      </w:pPr>
      <w:r>
        <w:t>Profil, kaplama, delik, kanal, vakum ve taşıyıcı profil uygulamalarına uygun işlenebilir yapı</w:t>
      </w:r>
    </w:p>
    <w:p w:rsidR="00490D4E" w:rsidRDefault="001D501C">
      <w:pPr>
        <w:pStyle w:val="Balk1"/>
      </w:pPr>
      <w:r>
        <w:t>Kayış Yapısı</w:t>
      </w:r>
    </w:p>
    <w:tbl>
      <w:tblPr>
        <w:tblW w:w="0" w:type="auto"/>
        <w:jc w:val="center"/>
        <w:tblLayout w:type="fixed"/>
        <w:tblLook w:val="04A0" w:firstRow="1" w:lastRow="0" w:firstColumn="1" w:lastColumn="0" w:noHBand="0" w:noVBand="1"/>
      </w:tblPr>
      <w:tblGrid>
        <w:gridCol w:w="2381"/>
        <w:gridCol w:w="7483"/>
      </w:tblGrid>
      <w:tr w:rsidR="00490D4E">
        <w:trPr>
          <w:tblHeader/>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8"/>
              </w:rPr>
              <w:t>Bileşen</w:t>
            </w:r>
          </w:p>
        </w:tc>
        <w:tc>
          <w:tcPr>
            <w:tcW w:w="7483"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8"/>
              </w:rPr>
              <w:t>Tek</w:t>
            </w:r>
            <w:r>
              <w:rPr>
                <w:b/>
                <w:color w:val="FFFFFF"/>
                <w:sz w:val="18"/>
              </w:rPr>
              <w:t>nik görevi</w:t>
            </w:r>
          </w:p>
        </w:tc>
      </w:tr>
      <w:tr w:rsidR="00490D4E">
        <w:trPr>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Termoplastik PU gövde</w:t>
            </w:r>
          </w:p>
        </w:tc>
        <w:tc>
          <w:tcPr>
            <w:tcW w:w="7483"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Diş geometrisini oluşturur; aşınma, yağ, gres, yaşlanma ve çevresel etkilere karşı dayanım sağlar.</w:t>
            </w:r>
          </w:p>
        </w:tc>
      </w:tr>
      <w:tr w:rsidR="00490D4E">
        <w:trPr>
          <w:jc w:val="center"/>
        </w:trPr>
        <w:tc>
          <w:tcPr>
            <w:tcW w:w="238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8"/>
              </w:rPr>
              <w:t>Paralel çelik kordlar</w:t>
            </w:r>
          </w:p>
        </w:tc>
        <w:tc>
          <w:tcPr>
            <w:tcW w:w="7483"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8"/>
              </w:rPr>
              <w:t>Çekme yükünü taşır; elastik uzamayı sınırlar ve lineer konumlandırma rijitliğini yükseltir.</w:t>
            </w:r>
          </w:p>
        </w:tc>
      </w:tr>
      <w:tr w:rsidR="00490D4E">
        <w:trPr>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 xml:space="preserve">Diş </w:t>
            </w:r>
            <w:r>
              <w:rPr>
                <w:sz w:val="18"/>
              </w:rPr>
              <w:t>tarafı kumaşı PAZ</w:t>
            </w:r>
          </w:p>
        </w:tc>
        <w:tc>
          <w:tcPr>
            <w:tcW w:w="7483"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Diş sürtünmesini, gürültüyü ve aşınmayı azaltır; kayma kızaklı taşıma uygulamalarında yarar sağlar.</w:t>
            </w:r>
          </w:p>
        </w:tc>
      </w:tr>
      <w:tr w:rsidR="00490D4E">
        <w:trPr>
          <w:jc w:val="center"/>
        </w:trPr>
        <w:tc>
          <w:tcPr>
            <w:tcW w:w="238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8"/>
              </w:rPr>
              <w:t>Sırt tarafı kumaşı PAR</w:t>
            </w:r>
          </w:p>
        </w:tc>
        <w:tc>
          <w:tcPr>
            <w:tcW w:w="7483"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8"/>
              </w:rPr>
              <w:t>Kayış sırtındaki sürtünmeyi düşürür; birikmeli veya kaymalı taşıma düzenlerinde kullanılır.</w:t>
            </w:r>
          </w:p>
        </w:tc>
      </w:tr>
    </w:tbl>
    <w:p w:rsidR="00490D4E" w:rsidRDefault="00490D4E">
      <w:pPr>
        <w:spacing w:after="40"/>
        <w:rPr>
          <w:rFonts w:hint="eastAsia"/>
        </w:rPr>
      </w:pPr>
    </w:p>
    <w:p w:rsidR="00490D4E" w:rsidRDefault="001D501C">
      <w:pPr>
        <w:rPr>
          <w:rFonts w:hint="eastAsia"/>
        </w:rPr>
      </w:pPr>
      <w:r>
        <w:br w:type="page"/>
      </w:r>
    </w:p>
    <w:p w:rsidR="00490D4E" w:rsidRDefault="001D501C">
      <w:pPr>
        <w:pStyle w:val="Balk1"/>
      </w:pPr>
      <w:r>
        <w:lastRenderedPageBreak/>
        <w:t xml:space="preserve">T </w:t>
      </w:r>
      <w:proofErr w:type="spellStart"/>
      <w:r>
        <w:t>ve</w:t>
      </w:r>
      <w:proofErr w:type="spellEnd"/>
      <w:r>
        <w:t xml:space="preserve"> AT </w:t>
      </w:r>
      <w:proofErr w:type="spellStart"/>
      <w:r>
        <w:t>Profilleri</w:t>
      </w:r>
      <w:proofErr w:type="spellEnd"/>
    </w:p>
    <w:p w:rsidR="00490D4E" w:rsidRDefault="001D501C">
      <w:pPr>
        <w:spacing w:after="120" w:line="269" w:lineRule="auto"/>
        <w:rPr>
          <w:rFonts w:hint="eastAsia"/>
        </w:rPr>
      </w:pPr>
      <w:r>
        <w:t xml:space="preserve">T profili standart trapez diş geometrisidir. AT profili aynı hatve sınıfında daha geniş diş tabanı ve daha yüksek diş rijitliği sunar; </w:t>
      </w:r>
      <w:r>
        <w:t>yüksek lineer kuvvet ve hassas konumlandırma uygulamalarında çoğunlukla daha uygun başlangıç seçeneğidir. T ve AT kasnakları birbirinin yerine kullanılamaz.</w:t>
      </w:r>
    </w:p>
    <w:tbl>
      <w:tblPr>
        <w:tblW w:w="0" w:type="auto"/>
        <w:jc w:val="center"/>
        <w:tblLayout w:type="fixed"/>
        <w:tblLook w:val="04A0" w:firstRow="1" w:lastRow="0" w:firstColumn="1" w:lastColumn="0" w:noHBand="0" w:noVBand="1"/>
      </w:tblPr>
      <w:tblGrid>
        <w:gridCol w:w="1134"/>
        <w:gridCol w:w="1304"/>
        <w:gridCol w:w="1757"/>
        <w:gridCol w:w="1701"/>
        <w:gridCol w:w="1814"/>
        <w:gridCol w:w="2041"/>
      </w:tblGrid>
      <w:tr w:rsidR="00490D4E">
        <w:trPr>
          <w:tblHeader/>
          <w:jc w:val="center"/>
        </w:trPr>
        <w:tc>
          <w:tcPr>
            <w:tcW w:w="1134"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Profil</w:t>
            </w:r>
          </w:p>
        </w:tc>
        <w:tc>
          <w:tcPr>
            <w:tcW w:w="1304"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Hatve p mm</w:t>
            </w:r>
          </w:p>
        </w:tc>
        <w:tc>
          <w:tcPr>
            <w:tcW w:w="1757"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Toplam yükseklik mm</w:t>
            </w:r>
          </w:p>
        </w:tc>
        <w:tc>
          <w:tcPr>
            <w:tcW w:w="170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Diş yüksekliği mm</w:t>
            </w:r>
          </w:p>
        </w:tc>
        <w:tc>
          <w:tcPr>
            <w:tcW w:w="1814"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Referans min kasnak</w:t>
            </w:r>
          </w:p>
        </w:tc>
        <w:tc>
          <w:tcPr>
            <w:tcW w:w="204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Min hatve çapı Dp mm</w:t>
            </w:r>
          </w:p>
        </w:tc>
      </w:tr>
      <w:tr w:rsidR="00490D4E">
        <w:trPr>
          <w:jc w:val="center"/>
        </w:trPr>
        <w:tc>
          <w:tcPr>
            <w:tcW w:w="113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T2,5</w:t>
            </w:r>
          </w:p>
        </w:tc>
        <w:tc>
          <w:tcPr>
            <w:tcW w:w="130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2,500</w:t>
            </w:r>
          </w:p>
        </w:tc>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1,30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0,70</w:t>
            </w:r>
          </w:p>
        </w:tc>
        <w:tc>
          <w:tcPr>
            <w:tcW w:w="181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10 diş</w:t>
            </w:r>
          </w:p>
        </w:tc>
        <w:tc>
          <w:tcPr>
            <w:tcW w:w="204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7,96</w:t>
            </w:r>
          </w:p>
        </w:tc>
      </w:tr>
      <w:tr w:rsidR="00490D4E">
        <w:trPr>
          <w:jc w:val="center"/>
        </w:trPr>
        <w:tc>
          <w:tcPr>
            <w:tcW w:w="113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T5</w:t>
            </w:r>
          </w:p>
        </w:tc>
        <w:tc>
          <w:tcPr>
            <w:tcW w:w="1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5,000</w:t>
            </w:r>
          </w:p>
        </w:tc>
        <w:tc>
          <w:tcPr>
            <w:tcW w:w="175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2,20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1,20</w:t>
            </w:r>
          </w:p>
        </w:tc>
        <w:tc>
          <w:tcPr>
            <w:tcW w:w="181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10 diş</w:t>
            </w:r>
          </w:p>
        </w:tc>
        <w:tc>
          <w:tcPr>
            <w:tcW w:w="204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15,92</w:t>
            </w:r>
          </w:p>
        </w:tc>
      </w:tr>
      <w:tr w:rsidR="00490D4E">
        <w:trPr>
          <w:jc w:val="center"/>
        </w:trPr>
        <w:tc>
          <w:tcPr>
            <w:tcW w:w="113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T10</w:t>
            </w:r>
          </w:p>
        </w:tc>
        <w:tc>
          <w:tcPr>
            <w:tcW w:w="130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10,000</w:t>
            </w:r>
          </w:p>
        </w:tc>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4,50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2,50</w:t>
            </w:r>
          </w:p>
        </w:tc>
        <w:tc>
          <w:tcPr>
            <w:tcW w:w="181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12 diş</w:t>
            </w:r>
          </w:p>
        </w:tc>
        <w:tc>
          <w:tcPr>
            <w:tcW w:w="204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38,20</w:t>
            </w:r>
          </w:p>
        </w:tc>
      </w:tr>
      <w:tr w:rsidR="00490D4E">
        <w:trPr>
          <w:jc w:val="center"/>
        </w:trPr>
        <w:tc>
          <w:tcPr>
            <w:tcW w:w="113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T20</w:t>
            </w:r>
          </w:p>
        </w:tc>
        <w:tc>
          <w:tcPr>
            <w:tcW w:w="1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20,000</w:t>
            </w:r>
          </w:p>
        </w:tc>
        <w:tc>
          <w:tcPr>
            <w:tcW w:w="175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8,00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5,00</w:t>
            </w:r>
          </w:p>
        </w:tc>
        <w:tc>
          <w:tcPr>
            <w:tcW w:w="181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15 diş</w:t>
            </w:r>
          </w:p>
        </w:tc>
        <w:tc>
          <w:tcPr>
            <w:tcW w:w="204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95,49</w:t>
            </w:r>
          </w:p>
        </w:tc>
      </w:tr>
      <w:tr w:rsidR="00490D4E">
        <w:trPr>
          <w:jc w:val="center"/>
        </w:trPr>
        <w:tc>
          <w:tcPr>
            <w:tcW w:w="113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AT5</w:t>
            </w:r>
          </w:p>
        </w:tc>
        <w:tc>
          <w:tcPr>
            <w:tcW w:w="130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5,000</w:t>
            </w:r>
          </w:p>
        </w:tc>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2,70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1,20</w:t>
            </w:r>
          </w:p>
        </w:tc>
        <w:tc>
          <w:tcPr>
            <w:tcW w:w="181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12 diş</w:t>
            </w:r>
          </w:p>
        </w:tc>
        <w:tc>
          <w:tcPr>
            <w:tcW w:w="204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19,10</w:t>
            </w:r>
          </w:p>
        </w:tc>
      </w:tr>
      <w:tr w:rsidR="00490D4E">
        <w:trPr>
          <w:jc w:val="center"/>
        </w:trPr>
        <w:tc>
          <w:tcPr>
            <w:tcW w:w="113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AT10</w:t>
            </w:r>
          </w:p>
        </w:tc>
        <w:tc>
          <w:tcPr>
            <w:tcW w:w="1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10,000</w:t>
            </w:r>
          </w:p>
        </w:tc>
        <w:tc>
          <w:tcPr>
            <w:tcW w:w="175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2,50</w:t>
            </w:r>
          </w:p>
        </w:tc>
        <w:tc>
          <w:tcPr>
            <w:tcW w:w="181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15 diş</w:t>
            </w:r>
          </w:p>
        </w:tc>
        <w:tc>
          <w:tcPr>
            <w:tcW w:w="204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47,75</w:t>
            </w:r>
          </w:p>
        </w:tc>
      </w:tr>
      <w:tr w:rsidR="00490D4E">
        <w:trPr>
          <w:jc w:val="center"/>
        </w:trPr>
        <w:tc>
          <w:tcPr>
            <w:tcW w:w="113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AT20</w:t>
            </w:r>
          </w:p>
        </w:tc>
        <w:tc>
          <w:tcPr>
            <w:tcW w:w="130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20,000</w:t>
            </w:r>
          </w:p>
        </w:tc>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9,00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5,00</w:t>
            </w:r>
          </w:p>
        </w:tc>
        <w:tc>
          <w:tcPr>
            <w:tcW w:w="181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18 diş</w:t>
            </w:r>
          </w:p>
        </w:tc>
        <w:tc>
          <w:tcPr>
            <w:tcW w:w="204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114,59</w:t>
            </w:r>
          </w:p>
        </w:tc>
      </w:tr>
    </w:tbl>
    <w:p w:rsidR="00490D4E" w:rsidRDefault="00490D4E">
      <w:pPr>
        <w:spacing w:after="40"/>
        <w:rPr>
          <w:rFonts w:hint="eastAsia"/>
        </w:rPr>
      </w:pPr>
    </w:p>
    <w:p w:rsidR="00490D4E" w:rsidRDefault="001D501C">
      <w:pPr>
        <w:spacing w:after="120" w:line="269" w:lineRule="auto"/>
        <w:rPr>
          <w:rFonts w:hint="eastAsia"/>
        </w:rPr>
      </w:pPr>
      <w:r>
        <w:rPr>
          <w:b/>
        </w:rPr>
        <w:t xml:space="preserve">Tablodaki </w:t>
      </w:r>
      <w:r>
        <w:rPr>
          <w:b/>
        </w:rPr>
        <w:t>minimum değerler</w:t>
      </w:r>
      <w:r>
        <w:t xml:space="preserve"> standart çelik kordlu açık uçlu ürünler için başlangıç referansıdır. Yüksek esnek kord, yüksek rijitlik kord, kalın sırt kaplaması, ters bükülme, yüksek devir veya darbe yükü kullanıldığında üreticinin ilgili seri tablosu esas alınmalıdır.</w:t>
      </w:r>
    </w:p>
    <w:p w:rsidR="00490D4E" w:rsidRDefault="001D501C">
      <w:pPr>
        <w:pStyle w:val="Balk1"/>
      </w:pPr>
      <w:r>
        <w:t>Profil Seçimi İçin Kısa Rehber</w:t>
      </w:r>
    </w:p>
    <w:p w:rsidR="00490D4E" w:rsidRDefault="001D501C">
      <w:pPr>
        <w:pStyle w:val="ListeMaddemi"/>
        <w:spacing w:after="40" w:line="259" w:lineRule="auto"/>
        <w:rPr>
          <w:rFonts w:hint="eastAsia"/>
        </w:rPr>
      </w:pPr>
      <w:r>
        <w:t>T2,5 ve T5: düşük yük, küçük mekanizma, ofis makineleri, küçük otomasyon ve ölçüm sistemleri.</w:t>
      </w:r>
    </w:p>
    <w:p w:rsidR="00490D4E" w:rsidRDefault="001D501C">
      <w:pPr>
        <w:pStyle w:val="ListeMaddemi"/>
        <w:spacing w:after="40" w:line="259" w:lineRule="auto"/>
        <w:rPr>
          <w:rFonts w:hint="eastAsia"/>
        </w:rPr>
      </w:pPr>
      <w:r>
        <w:t>T10 ve T20: genel taşıma, uzun eksenler ve orta yük sınıfı lineer uygulamalar.</w:t>
      </w:r>
    </w:p>
    <w:p w:rsidR="00490D4E" w:rsidRDefault="001D501C">
      <w:pPr>
        <w:pStyle w:val="ListeMaddemi"/>
        <w:spacing w:after="40" w:line="259" w:lineRule="auto"/>
        <w:rPr>
          <w:rFonts w:hint="eastAsia"/>
        </w:rPr>
      </w:pPr>
      <w:r>
        <w:t>AT5: kompakt fakat rijit konumlandırma eksenleri, p</w:t>
      </w:r>
      <w:r>
        <w:t>aketleme ve robotik sistemler.</w:t>
      </w:r>
    </w:p>
    <w:p w:rsidR="00490D4E" w:rsidRDefault="001D501C">
      <w:pPr>
        <w:pStyle w:val="ListeMaddemi"/>
        <w:spacing w:after="40" w:line="259" w:lineRule="auto"/>
        <w:rPr>
          <w:rFonts w:hint="eastAsia"/>
        </w:rPr>
      </w:pPr>
      <w:r>
        <w:t>AT10: makine otomasyonu, gantry, kesme sistemleri, uzun stroklu eksenler ve yüksek tekrarlanabilirlik.</w:t>
      </w:r>
    </w:p>
    <w:p w:rsidR="00490D4E" w:rsidRDefault="001D501C">
      <w:pPr>
        <w:pStyle w:val="ListeMaddemi"/>
        <w:spacing w:after="40" w:line="259" w:lineRule="auto"/>
        <w:rPr>
          <w:rFonts w:hint="eastAsia"/>
        </w:rPr>
      </w:pPr>
      <w:r>
        <w:t>AT20: yüksek çekme kuvveti, ağır taşıma ve düşük çevrimli büyük lineer sistemler.</w:t>
      </w:r>
    </w:p>
    <w:p w:rsidR="00490D4E" w:rsidRDefault="001D501C">
      <w:pPr>
        <w:rPr>
          <w:rFonts w:hint="eastAsia"/>
        </w:rPr>
      </w:pPr>
      <w:r>
        <w:br w:type="page"/>
      </w:r>
    </w:p>
    <w:p w:rsidR="00490D4E" w:rsidRDefault="001D501C">
      <w:pPr>
        <w:pStyle w:val="Balk1"/>
      </w:pPr>
      <w:r>
        <w:lastRenderedPageBreak/>
        <w:t>HTD ve STD Profilleri</w:t>
      </w:r>
    </w:p>
    <w:p w:rsidR="00490D4E" w:rsidRDefault="001D501C">
      <w:pPr>
        <w:spacing w:after="120" w:line="269" w:lineRule="auto"/>
        <w:rPr>
          <w:rFonts w:hint="eastAsia"/>
        </w:rPr>
      </w:pPr>
      <w:r>
        <w:t xml:space="preserve">Yuvarlatılmış HTD ve STD diş geometrileri, trapez profillere göre diş kökünde daha dengeli gerilme dağılımı sağlar. </w:t>
      </w:r>
    </w:p>
    <w:tbl>
      <w:tblPr>
        <w:tblW w:w="0" w:type="auto"/>
        <w:jc w:val="center"/>
        <w:tblLayout w:type="fixed"/>
        <w:tblLook w:val="04A0" w:firstRow="1" w:lastRow="0" w:firstColumn="1" w:lastColumn="0" w:noHBand="0" w:noVBand="1"/>
      </w:tblPr>
      <w:tblGrid>
        <w:gridCol w:w="1361"/>
        <w:gridCol w:w="1304"/>
        <w:gridCol w:w="1757"/>
        <w:gridCol w:w="1701"/>
        <w:gridCol w:w="1701"/>
        <w:gridCol w:w="1928"/>
      </w:tblGrid>
      <w:tr w:rsidR="00490D4E">
        <w:trPr>
          <w:tblHeader/>
          <w:jc w:val="center"/>
        </w:trPr>
        <w:tc>
          <w:tcPr>
            <w:tcW w:w="136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Profil</w:t>
            </w:r>
          </w:p>
        </w:tc>
        <w:tc>
          <w:tcPr>
            <w:tcW w:w="1304"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Hatve p mm</w:t>
            </w:r>
          </w:p>
        </w:tc>
        <w:tc>
          <w:tcPr>
            <w:tcW w:w="1757"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Toplam yükseklik mm</w:t>
            </w:r>
          </w:p>
        </w:tc>
        <w:tc>
          <w:tcPr>
            <w:tcW w:w="170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Diş yüksekliği mm</w:t>
            </w:r>
          </w:p>
        </w:tc>
        <w:tc>
          <w:tcPr>
            <w:tcW w:w="170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HP min kasnak</w:t>
            </w:r>
          </w:p>
        </w:tc>
        <w:tc>
          <w:tcPr>
            <w:tcW w:w="1928"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Min hatve çapı Dp mm</w:t>
            </w:r>
          </w:p>
        </w:tc>
      </w:tr>
      <w:tr w:rsidR="00490D4E">
        <w:trPr>
          <w:jc w:val="center"/>
        </w:trPr>
        <w:tc>
          <w:tcPr>
            <w:tcW w:w="136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HTD 3M</w:t>
            </w:r>
          </w:p>
        </w:tc>
        <w:tc>
          <w:tcPr>
            <w:tcW w:w="130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3,00</w:t>
            </w:r>
          </w:p>
        </w:tc>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2,40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1,30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20 diş</w:t>
            </w:r>
          </w:p>
        </w:tc>
        <w:tc>
          <w:tcPr>
            <w:tcW w:w="192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19,10</w:t>
            </w:r>
          </w:p>
        </w:tc>
      </w:tr>
      <w:tr w:rsidR="00490D4E">
        <w:trPr>
          <w:jc w:val="center"/>
        </w:trPr>
        <w:tc>
          <w:tcPr>
            <w:tcW w:w="136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HTD 5M</w:t>
            </w:r>
          </w:p>
        </w:tc>
        <w:tc>
          <w:tcPr>
            <w:tcW w:w="1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5,00</w:t>
            </w:r>
          </w:p>
        </w:tc>
        <w:tc>
          <w:tcPr>
            <w:tcW w:w="175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3,60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2,10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16 diş</w:t>
            </w:r>
          </w:p>
        </w:tc>
        <w:tc>
          <w:tcPr>
            <w:tcW w:w="192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25,46</w:t>
            </w:r>
          </w:p>
        </w:tc>
      </w:tr>
      <w:tr w:rsidR="00490D4E">
        <w:trPr>
          <w:jc w:val="center"/>
        </w:trPr>
        <w:tc>
          <w:tcPr>
            <w:tcW w:w="136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HTD 8M</w:t>
            </w:r>
          </w:p>
        </w:tc>
        <w:tc>
          <w:tcPr>
            <w:tcW w:w="130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8,00</w:t>
            </w:r>
          </w:p>
        </w:tc>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5,60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3,40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20 diş</w:t>
            </w:r>
          </w:p>
        </w:tc>
        <w:tc>
          <w:tcPr>
            <w:tcW w:w="192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50,93</w:t>
            </w:r>
          </w:p>
        </w:tc>
      </w:tr>
      <w:tr w:rsidR="00490D4E">
        <w:trPr>
          <w:jc w:val="center"/>
        </w:trPr>
        <w:tc>
          <w:tcPr>
            <w:tcW w:w="136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HTD 14M</w:t>
            </w:r>
          </w:p>
        </w:tc>
        <w:tc>
          <w:tcPr>
            <w:tcW w:w="1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14,00</w:t>
            </w:r>
          </w:p>
        </w:tc>
        <w:tc>
          <w:tcPr>
            <w:tcW w:w="175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10,00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6,10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26 diş</w:t>
            </w:r>
          </w:p>
        </w:tc>
        <w:tc>
          <w:tcPr>
            <w:tcW w:w="192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115,86</w:t>
            </w:r>
          </w:p>
        </w:tc>
      </w:tr>
      <w:tr w:rsidR="00490D4E">
        <w:trPr>
          <w:jc w:val="center"/>
        </w:trPr>
        <w:tc>
          <w:tcPr>
            <w:tcW w:w="136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STD S3M</w:t>
            </w:r>
          </w:p>
        </w:tc>
        <w:tc>
          <w:tcPr>
            <w:tcW w:w="130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3,00</w:t>
            </w:r>
          </w:p>
        </w:tc>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2,30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1,14</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20 diş</w:t>
            </w:r>
          </w:p>
        </w:tc>
        <w:tc>
          <w:tcPr>
            <w:tcW w:w="192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19,10</w:t>
            </w:r>
          </w:p>
        </w:tc>
      </w:tr>
      <w:tr w:rsidR="00490D4E">
        <w:trPr>
          <w:jc w:val="center"/>
        </w:trPr>
        <w:tc>
          <w:tcPr>
            <w:tcW w:w="136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STD S5M</w:t>
            </w:r>
          </w:p>
        </w:tc>
        <w:tc>
          <w:tcPr>
            <w:tcW w:w="130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5,00</w:t>
            </w:r>
          </w:p>
        </w:tc>
        <w:tc>
          <w:tcPr>
            <w:tcW w:w="175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3,40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1,90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16 diş</w:t>
            </w:r>
          </w:p>
        </w:tc>
        <w:tc>
          <w:tcPr>
            <w:tcW w:w="192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25,46</w:t>
            </w:r>
          </w:p>
        </w:tc>
      </w:tr>
      <w:tr w:rsidR="00490D4E">
        <w:trPr>
          <w:jc w:val="center"/>
        </w:trPr>
        <w:tc>
          <w:tcPr>
            <w:tcW w:w="136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STD S8M</w:t>
            </w:r>
          </w:p>
        </w:tc>
        <w:tc>
          <w:tcPr>
            <w:tcW w:w="130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8,00</w:t>
            </w:r>
          </w:p>
        </w:tc>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5,20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3,00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20 diş</w:t>
            </w:r>
          </w:p>
        </w:tc>
        <w:tc>
          <w:tcPr>
            <w:tcW w:w="192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50,93</w:t>
            </w:r>
          </w:p>
        </w:tc>
      </w:tr>
    </w:tbl>
    <w:p w:rsidR="00490D4E" w:rsidRDefault="00490D4E">
      <w:pPr>
        <w:spacing w:after="40"/>
        <w:rPr>
          <w:rFonts w:hint="eastAsia"/>
        </w:rPr>
      </w:pPr>
    </w:p>
    <w:p w:rsidR="00490D4E" w:rsidRDefault="001D501C">
      <w:pPr>
        <w:pStyle w:val="Balk1"/>
      </w:pPr>
      <w:r>
        <w:t>İnç Esaslı Profiller</w:t>
      </w:r>
    </w:p>
    <w:tbl>
      <w:tblPr>
        <w:tblW w:w="0" w:type="auto"/>
        <w:jc w:val="center"/>
        <w:tblLayout w:type="fixed"/>
        <w:tblLook w:val="04A0" w:firstRow="1" w:lastRow="0" w:firstColumn="1" w:lastColumn="0" w:noHBand="0" w:noVBand="1"/>
      </w:tblPr>
      <w:tblGrid>
        <w:gridCol w:w="1247"/>
        <w:gridCol w:w="1361"/>
        <w:gridCol w:w="1814"/>
        <w:gridCol w:w="1701"/>
        <w:gridCol w:w="1928"/>
        <w:gridCol w:w="2041"/>
      </w:tblGrid>
      <w:tr w:rsidR="00490D4E">
        <w:trPr>
          <w:tblHeader/>
          <w:jc w:val="center"/>
        </w:trPr>
        <w:tc>
          <w:tcPr>
            <w:tcW w:w="1247"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Profil</w:t>
            </w:r>
          </w:p>
        </w:tc>
        <w:tc>
          <w:tcPr>
            <w:tcW w:w="136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Hatve p mm</w:t>
            </w:r>
          </w:p>
        </w:tc>
        <w:tc>
          <w:tcPr>
            <w:tcW w:w="1814"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Toplam yükseklik mm</w:t>
            </w:r>
          </w:p>
        </w:tc>
        <w:tc>
          <w:tcPr>
            <w:tcW w:w="170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Diş yüksekliği mm</w:t>
            </w:r>
          </w:p>
        </w:tc>
        <w:tc>
          <w:tcPr>
            <w:tcW w:w="1928"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Referans min kasnak</w:t>
            </w:r>
          </w:p>
        </w:tc>
        <w:tc>
          <w:tcPr>
            <w:tcW w:w="204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Min hatve çapı Dp mm</w:t>
            </w:r>
          </w:p>
        </w:tc>
      </w:tr>
      <w:tr w:rsidR="00490D4E">
        <w:trPr>
          <w:jc w:val="center"/>
        </w:trPr>
        <w:tc>
          <w:tcPr>
            <w:tcW w:w="124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MXL</w:t>
            </w:r>
          </w:p>
        </w:tc>
        <w:tc>
          <w:tcPr>
            <w:tcW w:w="136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2,032</w:t>
            </w:r>
          </w:p>
        </w:tc>
        <w:tc>
          <w:tcPr>
            <w:tcW w:w="181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1,14</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0,51</w:t>
            </w:r>
          </w:p>
        </w:tc>
        <w:tc>
          <w:tcPr>
            <w:tcW w:w="192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10 diş</w:t>
            </w:r>
          </w:p>
        </w:tc>
        <w:tc>
          <w:tcPr>
            <w:tcW w:w="204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6,47</w:t>
            </w:r>
          </w:p>
        </w:tc>
      </w:tr>
      <w:tr w:rsidR="00490D4E">
        <w:trPr>
          <w:jc w:val="center"/>
        </w:trPr>
        <w:tc>
          <w:tcPr>
            <w:tcW w:w="124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XL</w:t>
            </w:r>
          </w:p>
        </w:tc>
        <w:tc>
          <w:tcPr>
            <w:tcW w:w="136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5,080</w:t>
            </w:r>
          </w:p>
        </w:tc>
        <w:tc>
          <w:tcPr>
            <w:tcW w:w="181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2,30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1,27</w:t>
            </w:r>
          </w:p>
        </w:tc>
        <w:tc>
          <w:tcPr>
            <w:tcW w:w="192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10 diş</w:t>
            </w:r>
          </w:p>
        </w:tc>
        <w:tc>
          <w:tcPr>
            <w:tcW w:w="204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16,17</w:t>
            </w:r>
          </w:p>
        </w:tc>
      </w:tr>
      <w:tr w:rsidR="00490D4E">
        <w:trPr>
          <w:jc w:val="center"/>
        </w:trPr>
        <w:tc>
          <w:tcPr>
            <w:tcW w:w="124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L</w:t>
            </w:r>
          </w:p>
        </w:tc>
        <w:tc>
          <w:tcPr>
            <w:tcW w:w="136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9,525</w:t>
            </w:r>
          </w:p>
        </w:tc>
        <w:tc>
          <w:tcPr>
            <w:tcW w:w="181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3,60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1,91</w:t>
            </w:r>
          </w:p>
        </w:tc>
        <w:tc>
          <w:tcPr>
            <w:tcW w:w="192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10 diş</w:t>
            </w:r>
          </w:p>
        </w:tc>
        <w:tc>
          <w:tcPr>
            <w:tcW w:w="204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30,32</w:t>
            </w:r>
          </w:p>
        </w:tc>
      </w:tr>
      <w:tr w:rsidR="00490D4E">
        <w:trPr>
          <w:jc w:val="center"/>
        </w:trPr>
        <w:tc>
          <w:tcPr>
            <w:tcW w:w="124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H</w:t>
            </w:r>
          </w:p>
        </w:tc>
        <w:tc>
          <w:tcPr>
            <w:tcW w:w="136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12,700</w:t>
            </w:r>
          </w:p>
        </w:tc>
        <w:tc>
          <w:tcPr>
            <w:tcW w:w="1814"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4,30</w:t>
            </w:r>
          </w:p>
        </w:tc>
        <w:tc>
          <w:tcPr>
            <w:tcW w:w="170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2,29</w:t>
            </w:r>
          </w:p>
        </w:tc>
        <w:tc>
          <w:tcPr>
            <w:tcW w:w="192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14 diş</w:t>
            </w:r>
          </w:p>
        </w:tc>
        <w:tc>
          <w:tcPr>
            <w:tcW w:w="204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56,60</w:t>
            </w:r>
          </w:p>
        </w:tc>
      </w:tr>
      <w:tr w:rsidR="00490D4E">
        <w:trPr>
          <w:jc w:val="center"/>
        </w:trPr>
        <w:tc>
          <w:tcPr>
            <w:tcW w:w="124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XH</w:t>
            </w:r>
          </w:p>
        </w:tc>
        <w:tc>
          <w:tcPr>
            <w:tcW w:w="136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22,225</w:t>
            </w:r>
          </w:p>
        </w:tc>
        <w:tc>
          <w:tcPr>
            <w:tcW w:w="1814"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11,20</w:t>
            </w:r>
          </w:p>
        </w:tc>
        <w:tc>
          <w:tcPr>
            <w:tcW w:w="170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6,35</w:t>
            </w:r>
          </w:p>
        </w:tc>
        <w:tc>
          <w:tcPr>
            <w:tcW w:w="192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18 diş</w:t>
            </w:r>
          </w:p>
        </w:tc>
        <w:tc>
          <w:tcPr>
            <w:tcW w:w="204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127,34</w:t>
            </w:r>
          </w:p>
        </w:tc>
      </w:tr>
    </w:tbl>
    <w:p w:rsidR="00490D4E" w:rsidRDefault="00490D4E">
      <w:pPr>
        <w:spacing w:after="40"/>
        <w:rPr>
          <w:rFonts w:hint="eastAsia"/>
        </w:rPr>
      </w:pPr>
    </w:p>
    <w:p w:rsidR="00490D4E" w:rsidRDefault="001D501C">
      <w:pPr>
        <w:pStyle w:val="Balk1"/>
      </w:pPr>
      <w:r>
        <w:t>Minimum Kasnak Değerinin Doğru Yorumu</w:t>
      </w:r>
    </w:p>
    <w:p w:rsidR="00490D4E" w:rsidRDefault="001D501C">
      <w:pPr>
        <w:pStyle w:val="ListeMaddemi"/>
        <w:spacing w:after="40" w:line="259" w:lineRule="auto"/>
        <w:rPr>
          <w:rFonts w:hint="eastAsia"/>
        </w:rPr>
      </w:pPr>
      <w:r>
        <w:t xml:space="preserve">Minimum </w:t>
      </w:r>
      <w:r>
        <w:t>diş sayısı, yalnızca geometrik olarak kayışın bükülebileceği alt sınırdır; uygulamanın ömrünü tek başına garanti etmez.</w:t>
      </w:r>
    </w:p>
    <w:p w:rsidR="00490D4E" w:rsidRDefault="001D501C">
      <w:pPr>
        <w:pStyle w:val="ListeMaddemi"/>
        <w:spacing w:after="40" w:line="259" w:lineRule="auto"/>
        <w:rPr>
          <w:rFonts w:hint="eastAsia"/>
        </w:rPr>
      </w:pPr>
      <w:r>
        <w:t>Kord çapı ve yapısı değiştiğinde aynı profilde minimum kasnak büyüyebilir veya yüksek esnek kordla küçülebilir.</w:t>
      </w:r>
    </w:p>
    <w:p w:rsidR="00490D4E" w:rsidRDefault="001D501C">
      <w:pPr>
        <w:pStyle w:val="ListeMaddemi"/>
        <w:spacing w:after="40" w:line="259" w:lineRule="auto"/>
        <w:rPr>
          <w:rFonts w:hint="eastAsia"/>
        </w:rPr>
      </w:pPr>
      <w:r>
        <w:t>Kayış sırtından ters bük</w:t>
      </w:r>
      <w:r>
        <w:t>ülme varsa düz avara çapı, dişli kasnağın minimum çapından daha büyük seçilir.</w:t>
      </w:r>
    </w:p>
    <w:p w:rsidR="00490D4E" w:rsidRDefault="001D501C">
      <w:pPr>
        <w:pStyle w:val="ListeMaddemi"/>
        <w:spacing w:after="40" w:line="259" w:lineRule="auto"/>
        <w:rPr>
          <w:rFonts w:hint="eastAsia"/>
        </w:rPr>
      </w:pPr>
      <w:r>
        <w:t>Kaplama, vakum deliği, kanal veya taşıyıcı profil uygulamaları bükülme kabiliyetini azaltabilir.</w:t>
      </w:r>
    </w:p>
    <w:p w:rsidR="00490D4E" w:rsidRDefault="001D501C">
      <w:pPr>
        <w:pStyle w:val="ListeMaddemi"/>
        <w:spacing w:after="40" w:line="259" w:lineRule="auto"/>
        <w:rPr>
          <w:rFonts w:hint="eastAsia"/>
        </w:rPr>
      </w:pPr>
      <w:r>
        <w:t>Yüksek hız ve yüksek çevrim sayısında katalog minimumunun üzerinde kasnak kullan</w:t>
      </w:r>
      <w:r>
        <w:t>mak kord yorulmasını azaltır.</w:t>
      </w:r>
    </w:p>
    <w:p w:rsidR="00490D4E" w:rsidRDefault="001D501C">
      <w:pPr>
        <w:rPr>
          <w:rFonts w:hint="eastAsia"/>
        </w:rPr>
      </w:pPr>
      <w:r>
        <w:br w:type="page"/>
      </w:r>
    </w:p>
    <w:p w:rsidR="00490D4E" w:rsidRDefault="001D501C">
      <w:pPr>
        <w:pStyle w:val="Balk1"/>
      </w:pPr>
      <w:r>
        <w:lastRenderedPageBreak/>
        <w:t>Çalışma Sıcaklıkları ve Marka Karşılaştırması</w:t>
      </w:r>
    </w:p>
    <w:p w:rsidR="00490D4E" w:rsidRDefault="001D501C">
      <w:pPr>
        <w:spacing w:after="120" w:line="269" w:lineRule="auto"/>
        <w:rPr>
          <w:rFonts w:hint="eastAsia"/>
        </w:rPr>
      </w:pPr>
      <w:r>
        <w:t>Çalışma sıcaklığı yalnız PU gövdeye göre seçilmez. Kord tipi, kumaş, sırt kaplaması, çevrim hızı, yük, kimyasal temas ve ortam nemi birlikte değerlendirilmelidir. Aşağıdaki aralı</w:t>
      </w:r>
      <w:r>
        <w:t>klar yayımlanmış standart ürün verileridir; sınır değerlere yakın uygulamalarda üretici onayı gerekir.</w:t>
      </w:r>
    </w:p>
    <w:tbl>
      <w:tblPr>
        <w:tblW w:w="0" w:type="auto"/>
        <w:jc w:val="center"/>
        <w:tblLayout w:type="fixed"/>
        <w:tblLook w:val="04A0" w:firstRow="1" w:lastRow="0" w:firstColumn="1" w:lastColumn="0" w:noHBand="0" w:noVBand="1"/>
      </w:tblPr>
      <w:tblGrid>
        <w:gridCol w:w="2551"/>
        <w:gridCol w:w="2268"/>
        <w:gridCol w:w="5102"/>
      </w:tblGrid>
      <w:tr w:rsidR="00490D4E">
        <w:trPr>
          <w:tblHeader/>
          <w:jc w:val="center"/>
        </w:trPr>
        <w:tc>
          <w:tcPr>
            <w:tcW w:w="255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Marka ve seri</w:t>
            </w:r>
          </w:p>
        </w:tc>
        <w:tc>
          <w:tcPr>
            <w:tcW w:w="2268"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Standart sıcaklık aralığı</w:t>
            </w:r>
          </w:p>
        </w:tc>
        <w:tc>
          <w:tcPr>
            <w:tcW w:w="5102"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Teknik not</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Continental CONTI SYNCHRODRIVE</w:t>
            </w:r>
          </w:p>
        </w:tc>
        <w:tc>
          <w:tcPr>
            <w:tcW w:w="226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-30 / +80 °C</w:t>
            </w:r>
          </w:p>
        </w:tc>
        <w:tc>
          <w:tcPr>
            <w:tcW w:w="5102"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 xml:space="preserve">Katalog, -10 °C altı ve +50 °C üstü uygulamalarda teknik </w:t>
            </w:r>
            <w:r>
              <w:rPr>
                <w:sz w:val="17"/>
              </w:rPr>
              <w:t>danışmanlık ister.</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Megadyne MEGALINEAR</w:t>
            </w:r>
          </w:p>
        </w:tc>
        <w:tc>
          <w:tcPr>
            <w:tcW w:w="226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-25 / +80 °C</w:t>
            </w:r>
          </w:p>
        </w:tc>
        <w:tc>
          <w:tcPr>
            <w:tcW w:w="5102"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Standart MEGALINEAR ürün sayfası. FC gıda serisinde üst sınır +70 °C olarak verilir.</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Optibelt ALPHA LINEAR</w:t>
            </w:r>
          </w:p>
        </w:tc>
        <w:tc>
          <w:tcPr>
            <w:tcW w:w="226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-30 / +80 °C</w:t>
            </w:r>
          </w:p>
        </w:tc>
        <w:tc>
          <w:tcPr>
            <w:tcW w:w="5102"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Standart PU ürünler ve normal bağıl nem için verilen aralıktır.</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 xml:space="preserve">Gates SYNCHRO </w:t>
            </w:r>
            <w:r>
              <w:rPr>
                <w:sz w:val="17"/>
              </w:rPr>
              <w:t>POWER</w:t>
            </w:r>
          </w:p>
        </w:tc>
        <w:tc>
          <w:tcPr>
            <w:tcW w:w="226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-5 / +70 °C</w:t>
            </w:r>
          </w:p>
        </w:tc>
        <w:tc>
          <w:tcPr>
            <w:tcW w:w="5102"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Gates R1 92 Shore A TPU kullanılan güncel özel seri veri sayfalarında verilen aralık.</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Elatech ELATECH M</w:t>
            </w:r>
          </w:p>
        </w:tc>
        <w:tc>
          <w:tcPr>
            <w:tcW w:w="2268"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-30 / +80 °C</w:t>
            </w:r>
          </w:p>
        </w:tc>
        <w:tc>
          <w:tcPr>
            <w:tcW w:w="5102"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Standart TPU ailesi için genel termal kararlılık referansı; özel bileşiklerde seri sayfası kontrol edilir.</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Bando</w:t>
            </w:r>
          </w:p>
        </w:tc>
        <w:tc>
          <w:tcPr>
            <w:tcW w:w="2268"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jc w:val="center"/>
              <w:rPr>
                <w:rFonts w:hint="eastAsia"/>
              </w:rPr>
            </w:pPr>
            <w:r>
              <w:rPr>
                <w:sz w:val="17"/>
              </w:rPr>
              <w:t>Eşdeğer açık uçlu seri doğrulanmadı</w:t>
            </w:r>
          </w:p>
        </w:tc>
        <w:tc>
          <w:tcPr>
            <w:tcW w:w="5102"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Standart açık uçlu TPU çelik kord ailesi için üreticiye özel veri kullanılmalıdır.</w:t>
            </w:r>
          </w:p>
        </w:tc>
      </w:tr>
    </w:tbl>
    <w:p w:rsidR="00490D4E" w:rsidRDefault="00490D4E">
      <w:pPr>
        <w:spacing w:after="40"/>
        <w:rPr>
          <w:rFonts w:hint="eastAsia"/>
        </w:rPr>
      </w:pPr>
    </w:p>
    <w:p w:rsidR="00490D4E" w:rsidRDefault="001D501C">
      <w:pPr>
        <w:pStyle w:val="Balk1"/>
      </w:pPr>
      <w:proofErr w:type="spellStart"/>
      <w:r>
        <w:t>Standart</w:t>
      </w:r>
      <w:proofErr w:type="spellEnd"/>
      <w:r>
        <w:t xml:space="preserve"> </w:t>
      </w:r>
      <w:proofErr w:type="spellStart"/>
      <w:r>
        <w:t>Yüzey</w:t>
      </w:r>
      <w:proofErr w:type="spellEnd"/>
      <w:r>
        <w:t xml:space="preserve"> </w:t>
      </w:r>
      <w:proofErr w:type="spellStart"/>
      <w:r>
        <w:t>Seçenekleri</w:t>
      </w:r>
      <w:proofErr w:type="spellEnd"/>
    </w:p>
    <w:tbl>
      <w:tblPr>
        <w:tblW w:w="0" w:type="auto"/>
        <w:jc w:val="center"/>
        <w:tblLayout w:type="fixed"/>
        <w:tblLook w:val="04A0" w:firstRow="1" w:lastRow="0" w:firstColumn="1" w:lastColumn="0" w:noHBand="0" w:noVBand="1"/>
      </w:tblPr>
      <w:tblGrid>
        <w:gridCol w:w="2835"/>
        <w:gridCol w:w="7030"/>
      </w:tblGrid>
      <w:tr w:rsidR="00490D4E">
        <w:trPr>
          <w:tblHeade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8"/>
              </w:rPr>
              <w:t>Kod veya tanım</w:t>
            </w:r>
          </w:p>
        </w:tc>
        <w:tc>
          <w:tcPr>
            <w:tcW w:w="7030"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8"/>
              </w:rPr>
              <w:t>Uygulama amacı</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Standart PU</w:t>
            </w:r>
          </w:p>
        </w:tc>
        <w:tc>
          <w:tcPr>
            <w:tcW w:w="7030"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Genel lineer hareket ve güç aktarımı.</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8"/>
              </w:rPr>
              <w:t>PAZ diş tarafı kumaş</w:t>
            </w:r>
          </w:p>
        </w:tc>
        <w:tc>
          <w:tcPr>
            <w:tcW w:w="703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8"/>
              </w:rPr>
              <w:t>Daha düşük sürtünme, daha sessiz kavrama ve aşınma kontrolü.</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PAR sırt tarafı kumaş</w:t>
            </w:r>
          </w:p>
        </w:tc>
        <w:tc>
          <w:tcPr>
            <w:tcW w:w="7030"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Kayış sırtında kayan ürün veya kızak yüzeyi için düşük sürtünme.</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8"/>
              </w:rPr>
              <w:t>PAZ ve PAR</w:t>
            </w:r>
          </w:p>
        </w:tc>
        <w:tc>
          <w:tcPr>
            <w:tcW w:w="703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8"/>
              </w:rPr>
              <w:t>Her iki yüzeyde sürtünme ve aşınma yönetimi.</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Sırt kaplaması</w:t>
            </w:r>
          </w:p>
        </w:tc>
        <w:tc>
          <w:tcPr>
            <w:tcW w:w="7030"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8"/>
              </w:rPr>
              <w:t>Ürünü tutma, sıkıştırma, tamponlama veya hassas taşıma.</w:t>
            </w:r>
          </w:p>
        </w:tc>
      </w:tr>
    </w:tbl>
    <w:p w:rsidR="00490D4E" w:rsidRDefault="00490D4E">
      <w:pPr>
        <w:spacing w:after="40"/>
        <w:rPr>
          <w:rFonts w:hint="eastAsia"/>
        </w:rPr>
      </w:pPr>
    </w:p>
    <w:p w:rsidR="00490D4E" w:rsidRDefault="001D501C">
      <w:pPr>
        <w:pStyle w:val="Balk1"/>
      </w:pPr>
      <w:r>
        <w:t>Doğru Kayış Seçimi</w:t>
      </w:r>
    </w:p>
    <w:p w:rsidR="00490D4E" w:rsidRDefault="001D501C">
      <w:pPr>
        <w:spacing w:after="120" w:line="269" w:lineRule="auto"/>
        <w:rPr>
          <w:rFonts w:hint="eastAsia"/>
        </w:rPr>
      </w:pPr>
      <w:r>
        <w:t xml:space="preserve">Açık uçlu kayış seçimi, yalnız mevcut </w:t>
      </w:r>
      <w:r>
        <w:t>kayış üzerindeki yazının kopyalanmasıyla yapılmamalıdır. Profil ve genişliğin yanında hareket kütlesi, ivme, tepe kuvveti, strok, çevrim sıklığı, çalışma yönü, bağlantı şekli ve kasnak çapı birlikte değerlendirilmelidir.</w:t>
      </w:r>
    </w:p>
    <w:p w:rsidR="00490D4E" w:rsidRDefault="001D501C">
      <w:pPr>
        <w:pStyle w:val="Balk2"/>
      </w:pPr>
      <w:r>
        <w:t>Hesaplamada Kontrol Edilecek Değerl</w:t>
      </w:r>
      <w:r>
        <w:t>er</w:t>
      </w:r>
    </w:p>
    <w:tbl>
      <w:tblPr>
        <w:tblW w:w="0" w:type="auto"/>
        <w:jc w:val="center"/>
        <w:tblLayout w:type="fixed"/>
        <w:tblLook w:val="04A0" w:firstRow="1" w:lastRow="0" w:firstColumn="1" w:lastColumn="0" w:noHBand="0" w:noVBand="1"/>
      </w:tblPr>
      <w:tblGrid>
        <w:gridCol w:w="2835"/>
        <w:gridCol w:w="7030"/>
      </w:tblGrid>
      <w:tr w:rsidR="00490D4E">
        <w:trPr>
          <w:tblHeade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Kontrol</w:t>
            </w:r>
          </w:p>
        </w:tc>
        <w:tc>
          <w:tcPr>
            <w:tcW w:w="7030"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Neden gereklidir</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Efektif çevresel kuvvet</w:t>
            </w:r>
          </w:p>
        </w:tc>
        <w:tc>
          <w:tcPr>
            <w:tcW w:w="7030"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Kütle, ivme, sürtünme, eğim ve proses yüklerinin toplamını belirler.</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İzin verilen kord çekmesi</w:t>
            </w:r>
          </w:p>
        </w:tc>
        <w:tc>
          <w:tcPr>
            <w:tcW w:w="703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Kayış genişliği ve kord sınıfının tepe çekme yükünü taşıdığını doğrular.</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Diş kesme kapasitesi</w:t>
            </w:r>
          </w:p>
        </w:tc>
        <w:tc>
          <w:tcPr>
            <w:tcW w:w="7030"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 xml:space="preserve">Kavramadaki </w:t>
            </w:r>
            <w:r>
              <w:rPr>
                <w:sz w:val="17"/>
              </w:rPr>
              <w:t>etkin diş sayısının yükü güvenli biçimde aktardığını kontrol eder.</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Elastik uzama ve rijitlik</w:t>
            </w:r>
          </w:p>
        </w:tc>
        <w:tc>
          <w:tcPr>
            <w:tcW w:w="703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Konumlandırma hatasını ve kontrol sistemi tepkisini belirler.</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Kelepçe kapasitesi</w:t>
            </w:r>
          </w:p>
        </w:tc>
        <w:tc>
          <w:tcPr>
            <w:tcW w:w="7030"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Kayış ucunun yük altında sıyrılmasını veya kord ezilmesini önler.</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Minimum kasna</w:t>
            </w:r>
            <w:r>
              <w:rPr>
                <w:sz w:val="17"/>
              </w:rPr>
              <w:t>k ve avara</w:t>
            </w:r>
          </w:p>
        </w:tc>
        <w:tc>
          <w:tcPr>
            <w:tcW w:w="7030"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Kord bükülme yorulmasını ve erken kopmayı sınırlar.</w:t>
            </w:r>
          </w:p>
        </w:tc>
      </w:tr>
      <w:tr w:rsidR="00490D4E">
        <w:trPr>
          <w:jc w:val="center"/>
        </w:trPr>
        <w:tc>
          <w:tcPr>
            <w:tcW w:w="2835"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Mil ve rulman yükü</w:t>
            </w:r>
          </w:p>
        </w:tc>
        <w:tc>
          <w:tcPr>
            <w:tcW w:w="7030"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Ön germe ile çalışma yükünün yataklama sistemine etkisini kontrol eder.</w:t>
            </w:r>
          </w:p>
        </w:tc>
      </w:tr>
    </w:tbl>
    <w:p w:rsidR="00490D4E" w:rsidRDefault="00490D4E">
      <w:pPr>
        <w:spacing w:after="40"/>
        <w:rPr>
          <w:rFonts w:hint="eastAsia"/>
        </w:rPr>
      </w:pPr>
    </w:p>
    <w:p w:rsidR="00490D4E" w:rsidRDefault="001D501C">
      <w:pPr>
        <w:pStyle w:val="Balk2"/>
      </w:pPr>
      <w:r>
        <w:lastRenderedPageBreak/>
        <w:t>Lineer Tahrikte Temel Tasarım İlkeleri</w:t>
      </w:r>
    </w:p>
    <w:p w:rsidR="00490D4E" w:rsidRDefault="001D501C">
      <w:pPr>
        <w:pStyle w:val="ListeMaddemi"/>
        <w:spacing w:after="40" w:line="259" w:lineRule="auto"/>
        <w:rPr>
          <w:rFonts w:hint="eastAsia"/>
        </w:rPr>
      </w:pPr>
      <w:r>
        <w:t xml:space="preserve">Kayış uçlarını, profil geometrisine uygun dişli kelepçe </w:t>
      </w:r>
      <w:r>
        <w:t>plakalarıyla ve yeterli kavrama dişiyle sabitleyin.</w:t>
      </w:r>
    </w:p>
    <w:p w:rsidR="00490D4E" w:rsidRDefault="001D501C">
      <w:pPr>
        <w:pStyle w:val="ListeMaddemi"/>
        <w:spacing w:after="40" w:line="259" w:lineRule="auto"/>
        <w:rPr>
          <w:rFonts w:hint="eastAsia"/>
        </w:rPr>
      </w:pPr>
      <w:r>
        <w:t>Kelepçe girişinde keskin açı veya kord kırılmasına yol açacak küçük dönüş yarıçapı bırakmayın.</w:t>
      </w:r>
    </w:p>
    <w:p w:rsidR="00490D4E" w:rsidRDefault="001D501C">
      <w:pPr>
        <w:pStyle w:val="ListeMaddemi"/>
        <w:spacing w:after="40" w:line="259" w:lineRule="auto"/>
        <w:rPr>
          <w:rFonts w:hint="eastAsia"/>
        </w:rPr>
      </w:pPr>
      <w:r>
        <w:t>Uzun strokta kayış rijitliği, servo ayarı ve hareketli kütle birlikte değerlendirilmelidir.</w:t>
      </w:r>
    </w:p>
    <w:p w:rsidR="00490D4E" w:rsidRDefault="001D501C">
      <w:pPr>
        <w:pStyle w:val="ListeMaddemi"/>
        <w:spacing w:after="40" w:line="259" w:lineRule="auto"/>
        <w:rPr>
          <w:rFonts w:hint="eastAsia"/>
        </w:rPr>
      </w:pPr>
      <w:r>
        <w:t>Küçük kasnağı iki</w:t>
      </w:r>
      <w:r>
        <w:t xml:space="preserve"> taraftan flanşlı kullanın; uzun merkez mesafelerinde her iki kasnağın yanal kılavuzlamasını kontrol edin.</w:t>
      </w:r>
    </w:p>
    <w:p w:rsidR="00490D4E" w:rsidRDefault="001D501C">
      <w:pPr>
        <w:pStyle w:val="ListeMaddemi"/>
        <w:spacing w:after="40" w:line="259" w:lineRule="auto"/>
        <w:rPr>
          <w:rFonts w:hint="eastAsia"/>
        </w:rPr>
      </w:pPr>
      <w:r>
        <w:t>Kasnak eksenlerini paralel, kasnakları aynı düzlemde tutun. Açısal hata kenar aşınmasına ve konum sapmasına yol açar.</w:t>
      </w:r>
    </w:p>
    <w:p w:rsidR="00490D4E" w:rsidRDefault="001D501C">
      <w:pPr>
        <w:pStyle w:val="ListeMaddemi"/>
        <w:spacing w:after="40" w:line="259" w:lineRule="auto"/>
        <w:rPr>
          <w:rFonts w:hint="eastAsia"/>
        </w:rPr>
      </w:pPr>
      <w:r>
        <w:t xml:space="preserve">Ön germe, diş atlamasını </w:t>
      </w:r>
      <w:r>
        <w:t>engelleyecek kadar yüksek; rulman yükünü ve kord gerilmesini gereksiz büyütmeyecek kadar düşük olmalıdır.</w:t>
      </w:r>
    </w:p>
    <w:p w:rsidR="00490D4E" w:rsidRDefault="001D501C">
      <w:pPr>
        <w:pStyle w:val="Balk2"/>
      </w:pPr>
      <w:r>
        <w:t>Uç Kelepçeleme</w:t>
      </w:r>
    </w:p>
    <w:p w:rsidR="00490D4E" w:rsidRDefault="001D501C">
      <w:pPr>
        <w:spacing w:after="120" w:line="269" w:lineRule="auto"/>
        <w:rPr>
          <w:rFonts w:hint="eastAsia"/>
        </w:rPr>
      </w:pPr>
      <w:r>
        <w:t>Standart açık uçlu kayışlarda uç bağlantısı, kayış diş formunu karşılayan kelepçe plakalarıyla yapılır. Referans kataloglarda tipik ola</w:t>
      </w:r>
      <w:r>
        <w:t>rak en az 6–8 dişlik kavrama görülse de kaldırma, güvenlik kritik veya darbe yükü bulunan sistemlerde daha uzun kavrama gerekir. Kelepçe boyu üretici tablosuna ve gerçek çekme kuvvetine göre belirlenmelidir.</w:t>
      </w:r>
    </w:p>
    <w:p w:rsidR="00490D4E" w:rsidRDefault="001D501C">
      <w:pPr>
        <w:pStyle w:val="Balk2"/>
      </w:pPr>
      <w:r>
        <w:t>Ön Germe</w:t>
      </w:r>
    </w:p>
    <w:p w:rsidR="00490D4E" w:rsidRDefault="001D501C">
      <w:pPr>
        <w:spacing w:after="120" w:line="269" w:lineRule="auto"/>
        <w:rPr>
          <w:rFonts w:hint="eastAsia"/>
        </w:rPr>
      </w:pPr>
      <w:r>
        <w:t>Ön germe değeri göz kararıyla verilmeme</w:t>
      </w:r>
      <w:r>
        <w:t>lidir. Fazla ön germe; mil, rulman ve kord yorulmasını artırır. Yetersiz ön germe ise diş atlama, titreşim, konum hatası ve darbe yükü oluşturur. Tasarımda kayış genişliği, serbest açıklık, hareket ivmesi ve çalışma yönü dikkate alınmalıdır.</w:t>
      </w:r>
    </w:p>
    <w:p w:rsidR="00490D4E" w:rsidRDefault="001D501C">
      <w:pPr>
        <w:pStyle w:val="Balk1"/>
      </w:pPr>
      <w:r>
        <w:t>Montaj ve İşle</w:t>
      </w:r>
      <w:r>
        <w:t>tme İlkeleri</w:t>
      </w:r>
    </w:p>
    <w:p w:rsidR="00490D4E" w:rsidRDefault="001D501C">
      <w:pPr>
        <w:pStyle w:val="ListeMaddemi"/>
        <w:spacing w:after="40" w:line="259" w:lineRule="auto"/>
        <w:rPr>
          <w:rFonts w:hint="eastAsia"/>
        </w:rPr>
      </w:pPr>
      <w:r>
        <w:t>Kayışı keskin şekilde katlamayın; kordlarda gözle görünmeyen kalıcı hasar oluşabilir.</w:t>
      </w:r>
    </w:p>
    <w:p w:rsidR="00490D4E" w:rsidRDefault="001D501C">
      <w:pPr>
        <w:pStyle w:val="ListeMaddemi"/>
        <w:spacing w:after="40" w:line="259" w:lineRule="auto"/>
        <w:rPr>
          <w:rFonts w:hint="eastAsia"/>
        </w:rPr>
      </w:pPr>
      <w:r>
        <w:t>Kayışın dişlerini veya kordlarını tornavida ve benzeri aletlerle zorlamayın.</w:t>
      </w:r>
    </w:p>
    <w:p w:rsidR="00490D4E" w:rsidRDefault="001D501C">
      <w:pPr>
        <w:pStyle w:val="ListeMaddemi"/>
        <w:spacing w:after="40" w:line="259" w:lineRule="auto"/>
        <w:rPr>
          <w:rFonts w:hint="eastAsia"/>
        </w:rPr>
      </w:pPr>
      <w:r>
        <w:t>Kasnak dişlerini temiz tutun; metal talaşı ve sert parçacıklar PU dişlerde kesil</w:t>
      </w:r>
      <w:r>
        <w:t>me başlatabilir.</w:t>
      </w:r>
    </w:p>
    <w:p w:rsidR="00490D4E" w:rsidRDefault="001D501C">
      <w:pPr>
        <w:pStyle w:val="ListeMaddemi"/>
        <w:spacing w:after="40" w:line="259" w:lineRule="auto"/>
        <w:rPr>
          <w:rFonts w:hint="eastAsia"/>
        </w:rPr>
      </w:pPr>
      <w:r>
        <w:t>Kasnakların profil, hatve ve diş geometrisinin kayışla tam uyumlu olduğunu doğrulayın.</w:t>
      </w:r>
    </w:p>
    <w:p w:rsidR="00490D4E" w:rsidRDefault="001D501C">
      <w:pPr>
        <w:pStyle w:val="ListeMaddemi"/>
        <w:spacing w:after="40" w:line="259" w:lineRule="auto"/>
        <w:rPr>
          <w:rFonts w:hint="eastAsia"/>
        </w:rPr>
      </w:pPr>
      <w:r>
        <w:t>Ters bükülme avarası kullanılıyorsa üreticinin minimum sırt avara çapına uyun.</w:t>
      </w:r>
    </w:p>
    <w:p w:rsidR="00490D4E" w:rsidRDefault="001D501C">
      <w:pPr>
        <w:pStyle w:val="ListeMaddemi"/>
        <w:spacing w:after="40" w:line="259" w:lineRule="auto"/>
        <w:rPr>
          <w:rFonts w:hint="eastAsia"/>
        </w:rPr>
      </w:pPr>
      <w:r>
        <w:t>Yağ, kimyasal, su, UV veya yüksek nem bulunan ortamda yalnız genel PU day</w:t>
      </w:r>
      <w:r>
        <w:t>anımına güvenmeyin; bileşik uyumluluğunu kontrol edin.</w:t>
      </w:r>
    </w:p>
    <w:p w:rsidR="00490D4E" w:rsidRDefault="001D501C">
      <w:pPr>
        <w:pStyle w:val="ListeMaddemi"/>
        <w:spacing w:after="40" w:line="259" w:lineRule="auto"/>
        <w:rPr>
          <w:rFonts w:hint="eastAsia"/>
        </w:rPr>
      </w:pPr>
      <w:r>
        <w:t>Paralel çalışan kayışları aynı üretim ve tolerans grubundan takım halinde kullanın.</w:t>
      </w:r>
    </w:p>
    <w:p w:rsidR="00490D4E" w:rsidRDefault="001D501C">
      <w:pPr>
        <w:pStyle w:val="ListeMaddemi"/>
        <w:spacing w:after="40" w:line="259" w:lineRule="auto"/>
        <w:rPr>
          <w:rFonts w:hint="eastAsia"/>
        </w:rPr>
      </w:pPr>
      <w:r>
        <w:t>Emniyet kritik kaldırma uygulamalarında yedek taşıma, mekanik fren ve aşırı yük güvenliği ayrıca tasarlanmalıdır.</w:t>
      </w:r>
    </w:p>
    <w:p w:rsidR="00490D4E" w:rsidRDefault="001D501C">
      <w:pPr>
        <w:pStyle w:val="Balk1"/>
      </w:pPr>
      <w:r>
        <w:t>Arı</w:t>
      </w:r>
      <w:r>
        <w:t>za Belirtileri ve Olası Nedenler</w:t>
      </w:r>
    </w:p>
    <w:tbl>
      <w:tblPr>
        <w:tblW w:w="0" w:type="auto"/>
        <w:jc w:val="center"/>
        <w:tblLayout w:type="fixed"/>
        <w:tblLook w:val="04A0" w:firstRow="1" w:lastRow="0" w:firstColumn="1" w:lastColumn="0" w:noHBand="0" w:noVBand="1"/>
      </w:tblPr>
      <w:tblGrid>
        <w:gridCol w:w="2551"/>
        <w:gridCol w:w="7313"/>
      </w:tblGrid>
      <w:tr w:rsidR="00490D4E">
        <w:trPr>
          <w:tblHeader/>
          <w:jc w:val="center"/>
        </w:trPr>
        <w:tc>
          <w:tcPr>
            <w:tcW w:w="255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Belirti</w:t>
            </w:r>
          </w:p>
        </w:tc>
        <w:tc>
          <w:tcPr>
            <w:tcW w:w="7313"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490D4E" w:rsidRDefault="001D501C">
            <w:pPr>
              <w:spacing w:after="0" w:line="240" w:lineRule="auto"/>
              <w:jc w:val="center"/>
              <w:rPr>
                <w:rFonts w:hint="eastAsia"/>
              </w:rPr>
            </w:pPr>
            <w:r>
              <w:rPr>
                <w:b/>
                <w:color w:val="FFFFFF"/>
                <w:sz w:val="17"/>
              </w:rPr>
              <w:t>Muhtemel nedenler</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Diş kesilmesi</w:t>
            </w:r>
          </w:p>
        </w:tc>
        <w:tc>
          <w:tcPr>
            <w:tcW w:w="7313"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Aşırı kuvvet, düşük ön germe, yetersiz kavrama dişi, yanlış profil veya darbe yükü.</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Kord kopması</w:t>
            </w:r>
          </w:p>
        </w:tc>
        <w:tc>
          <w:tcPr>
            <w:tcW w:w="7313"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 xml:space="preserve">Minimumdan küçük kasnak, keskin katlama, hatalı kelepçe, aşırı ön germe veya ters </w:t>
            </w:r>
            <w:r>
              <w:rPr>
                <w:sz w:val="17"/>
              </w:rPr>
              <w:t>bükülme.</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Kenar aşınması</w:t>
            </w:r>
          </w:p>
        </w:tc>
        <w:tc>
          <w:tcPr>
            <w:tcW w:w="7313"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Kasnak hizasızlığı, eksen paralellik hatası, yetersiz flanş düzeni veya kord sarım yönü etkisi.</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Konum sapması</w:t>
            </w:r>
          </w:p>
        </w:tc>
        <w:tc>
          <w:tcPr>
            <w:tcW w:w="7313"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Yetersiz kayış rijitliği, uzun serbest açıklık, gevşek kelepçe veya elastik uzama.</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Titreşim ve gürültü</w:t>
            </w:r>
          </w:p>
        </w:tc>
        <w:tc>
          <w:tcPr>
            <w:tcW w:w="7313"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Yanlış ön germe,</w:t>
            </w:r>
            <w:r>
              <w:rPr>
                <w:sz w:val="17"/>
              </w:rPr>
              <w:t xml:space="preserve"> kasnak salgısı, rezonans, diş boşluğu veya yüksek giriş frekansı.</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PU çatlağı veya erime</w:t>
            </w:r>
          </w:p>
        </w:tc>
        <w:tc>
          <w:tcPr>
            <w:tcW w:w="7313"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490D4E" w:rsidRDefault="001D501C">
            <w:pPr>
              <w:spacing w:after="0" w:line="245" w:lineRule="auto"/>
              <w:rPr>
                <w:rFonts w:hint="eastAsia"/>
              </w:rPr>
            </w:pPr>
            <w:r>
              <w:rPr>
                <w:sz w:val="17"/>
              </w:rPr>
              <w:t>Yüksek sıcaklık, aşırı sürtünme, kimyasal uyumsuzluk veya yetersiz avara çapı.</w:t>
            </w:r>
          </w:p>
        </w:tc>
      </w:tr>
      <w:tr w:rsidR="00490D4E">
        <w:trPr>
          <w:jc w:val="center"/>
        </w:trPr>
        <w:tc>
          <w:tcPr>
            <w:tcW w:w="255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Uçtan sıyrılma</w:t>
            </w:r>
          </w:p>
        </w:tc>
        <w:tc>
          <w:tcPr>
            <w:tcW w:w="7313"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490D4E" w:rsidRDefault="001D501C">
            <w:pPr>
              <w:spacing w:after="0" w:line="245" w:lineRule="auto"/>
              <w:rPr>
                <w:rFonts w:hint="eastAsia"/>
              </w:rPr>
            </w:pPr>
            <w:r>
              <w:rPr>
                <w:sz w:val="17"/>
              </w:rPr>
              <w:t xml:space="preserve">Kısa kelepçe boyu, yanlış dişli plaka, düşük sıkma kuvveti veya aşırı </w:t>
            </w:r>
            <w:r>
              <w:rPr>
                <w:sz w:val="17"/>
              </w:rPr>
              <w:t>tepe yükü.</w:t>
            </w:r>
          </w:p>
        </w:tc>
      </w:tr>
    </w:tbl>
    <w:p w:rsidR="00490D4E" w:rsidRDefault="00490D4E">
      <w:pPr>
        <w:spacing w:after="40"/>
        <w:rPr>
          <w:rFonts w:hint="eastAsia"/>
        </w:rPr>
      </w:pPr>
    </w:p>
    <w:p w:rsidR="00490D4E" w:rsidRDefault="001D501C">
      <w:pPr>
        <w:pStyle w:val="Balk1"/>
      </w:pPr>
      <w:r>
        <w:t>Uygulama Alanları</w:t>
      </w:r>
    </w:p>
    <w:p w:rsidR="00490D4E" w:rsidRDefault="001D501C">
      <w:pPr>
        <w:spacing w:after="120" w:line="269" w:lineRule="auto"/>
      </w:pPr>
      <w:r>
        <w:t>PU çelik telli açık uçlu zaman kayışları; CNC ve takım tezgâhı eksenleri, paketleme makineleri, robotik ve gantry sistemleri, otomatik depolama sistemleri, kapı ve giriş mekanizmaları, etiketleme makineleri, baskı ve kâğıt ma</w:t>
      </w:r>
      <w:r>
        <w:t xml:space="preserve">kineleri, kesim plotterları, asansör ve kaldırma düzenleri, tekstil makineleri, taşıma ve ayrıştırma sistemleri ile </w:t>
      </w:r>
      <w:proofErr w:type="spellStart"/>
      <w:r>
        <w:t>hassas</w:t>
      </w:r>
      <w:proofErr w:type="spellEnd"/>
      <w:r>
        <w:t xml:space="preserve"> </w:t>
      </w:r>
      <w:proofErr w:type="spellStart"/>
      <w:r>
        <w:t>otomasyon</w:t>
      </w:r>
      <w:proofErr w:type="spellEnd"/>
      <w:r>
        <w:t xml:space="preserve"> </w:t>
      </w:r>
      <w:proofErr w:type="spellStart"/>
      <w:r>
        <w:t>uygulamalarında</w:t>
      </w:r>
      <w:proofErr w:type="spellEnd"/>
      <w:r>
        <w:t xml:space="preserve"> </w:t>
      </w:r>
      <w:proofErr w:type="spellStart"/>
      <w:r>
        <w:t>kullanılır</w:t>
      </w:r>
      <w:proofErr w:type="spellEnd"/>
      <w:r>
        <w:t>.</w:t>
      </w:r>
    </w:p>
    <w:p w:rsidR="00EF2602" w:rsidRDefault="00EF2602" w:rsidP="00EF2602">
      <w:pPr>
        <w:pStyle w:val="Balk1"/>
      </w:pPr>
      <w:proofErr w:type="spellStart"/>
      <w:r>
        <w:lastRenderedPageBreak/>
        <w:t>Açık</w:t>
      </w:r>
      <w:proofErr w:type="spellEnd"/>
      <w:r>
        <w:t xml:space="preserve"> </w:t>
      </w:r>
      <w:proofErr w:type="spellStart"/>
      <w:r>
        <w:t>Uçlu</w:t>
      </w:r>
      <w:proofErr w:type="spellEnd"/>
      <w:r>
        <w:t xml:space="preserve"> </w:t>
      </w:r>
      <w:proofErr w:type="spellStart"/>
      <w:r>
        <w:t>ve</w:t>
      </w:r>
      <w:proofErr w:type="spellEnd"/>
      <w:r>
        <w:t xml:space="preserve"> </w:t>
      </w:r>
      <w:proofErr w:type="spellStart"/>
      <w:r>
        <w:t>Sonsuz</w:t>
      </w:r>
      <w:proofErr w:type="spellEnd"/>
      <w:r>
        <w:t xml:space="preserve"> Kayış </w:t>
      </w:r>
      <w:proofErr w:type="spellStart"/>
      <w:r>
        <w:t>Arasındaki</w:t>
      </w:r>
      <w:proofErr w:type="spellEnd"/>
      <w:r>
        <w:t xml:space="preserve"> </w:t>
      </w:r>
      <w:proofErr w:type="spellStart"/>
      <w:r>
        <w:t>Fark</w:t>
      </w:r>
      <w:proofErr w:type="spellEnd"/>
    </w:p>
    <w:tbl>
      <w:tblPr>
        <w:tblW w:w="0" w:type="auto"/>
        <w:jc w:val="center"/>
        <w:tblLayout w:type="fixed"/>
        <w:tblLook w:val="04A0" w:firstRow="1" w:lastRow="0" w:firstColumn="1" w:lastColumn="0" w:noHBand="0" w:noVBand="1"/>
      </w:tblPr>
      <w:tblGrid>
        <w:gridCol w:w="1757"/>
        <w:gridCol w:w="2665"/>
        <w:gridCol w:w="2721"/>
        <w:gridCol w:w="2721"/>
      </w:tblGrid>
      <w:tr w:rsidR="00EF2602" w:rsidTr="00C14A81">
        <w:trPr>
          <w:tblHeade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EF2602" w:rsidRDefault="00EF2602" w:rsidP="00C14A81">
            <w:pPr>
              <w:spacing w:after="0" w:line="240" w:lineRule="auto"/>
              <w:jc w:val="center"/>
              <w:rPr>
                <w:rFonts w:hint="eastAsia"/>
              </w:rPr>
            </w:pPr>
            <w:proofErr w:type="spellStart"/>
            <w:r>
              <w:rPr>
                <w:b/>
                <w:color w:val="FFFFFF"/>
                <w:sz w:val="17"/>
              </w:rPr>
              <w:t>Kriter</w:t>
            </w:r>
            <w:proofErr w:type="spellEnd"/>
          </w:p>
        </w:tc>
        <w:tc>
          <w:tcPr>
            <w:tcW w:w="2665"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EF2602" w:rsidRDefault="00EF2602" w:rsidP="00C14A81">
            <w:pPr>
              <w:spacing w:after="0" w:line="240" w:lineRule="auto"/>
              <w:jc w:val="center"/>
              <w:rPr>
                <w:rFonts w:hint="eastAsia"/>
              </w:rPr>
            </w:pPr>
            <w:proofErr w:type="spellStart"/>
            <w:r>
              <w:rPr>
                <w:b/>
                <w:color w:val="FFFFFF"/>
                <w:sz w:val="17"/>
              </w:rPr>
              <w:t>Açık</w:t>
            </w:r>
            <w:proofErr w:type="spellEnd"/>
            <w:r>
              <w:rPr>
                <w:b/>
                <w:color w:val="FFFFFF"/>
                <w:sz w:val="17"/>
              </w:rPr>
              <w:t xml:space="preserve"> </w:t>
            </w:r>
            <w:proofErr w:type="spellStart"/>
            <w:r>
              <w:rPr>
                <w:b/>
                <w:color w:val="FFFFFF"/>
                <w:sz w:val="17"/>
              </w:rPr>
              <w:t>uçlu</w:t>
            </w:r>
            <w:proofErr w:type="spellEnd"/>
            <w:r>
              <w:rPr>
                <w:b/>
                <w:color w:val="FFFFFF"/>
                <w:sz w:val="17"/>
              </w:rPr>
              <w:t xml:space="preserve"> </w:t>
            </w:r>
            <w:proofErr w:type="spellStart"/>
            <w:r>
              <w:rPr>
                <w:b/>
                <w:color w:val="FFFFFF"/>
                <w:sz w:val="17"/>
              </w:rPr>
              <w:t>kayış</w:t>
            </w:r>
            <w:proofErr w:type="spellEnd"/>
          </w:p>
        </w:tc>
        <w:tc>
          <w:tcPr>
            <w:tcW w:w="272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EF2602" w:rsidRDefault="00EF2602" w:rsidP="00C14A81">
            <w:pPr>
              <w:spacing w:after="0" w:line="240" w:lineRule="auto"/>
              <w:jc w:val="center"/>
              <w:rPr>
                <w:rFonts w:hint="eastAsia"/>
              </w:rPr>
            </w:pPr>
            <w:proofErr w:type="spellStart"/>
            <w:r>
              <w:rPr>
                <w:b/>
                <w:color w:val="FFFFFF"/>
                <w:sz w:val="17"/>
              </w:rPr>
              <w:t>Ekli</w:t>
            </w:r>
            <w:proofErr w:type="spellEnd"/>
            <w:r>
              <w:rPr>
                <w:b/>
                <w:color w:val="FFFFFF"/>
                <w:sz w:val="17"/>
              </w:rPr>
              <w:t xml:space="preserve"> </w:t>
            </w:r>
            <w:proofErr w:type="spellStart"/>
            <w:r>
              <w:rPr>
                <w:b/>
                <w:color w:val="FFFFFF"/>
                <w:sz w:val="17"/>
              </w:rPr>
              <w:t>sonsuz</w:t>
            </w:r>
            <w:proofErr w:type="spellEnd"/>
            <w:r>
              <w:rPr>
                <w:b/>
                <w:color w:val="FFFFFF"/>
                <w:sz w:val="17"/>
              </w:rPr>
              <w:t xml:space="preserve"> </w:t>
            </w:r>
            <w:proofErr w:type="spellStart"/>
            <w:r>
              <w:rPr>
                <w:b/>
                <w:color w:val="FFFFFF"/>
                <w:sz w:val="17"/>
              </w:rPr>
              <w:t>kayış</w:t>
            </w:r>
            <w:proofErr w:type="spellEnd"/>
          </w:p>
        </w:tc>
        <w:tc>
          <w:tcPr>
            <w:tcW w:w="2721" w:type="dxa"/>
            <w:tcBorders>
              <w:top w:val="single" w:sz="6" w:space="0" w:color="D9D9D9"/>
              <w:left w:val="single" w:sz="6" w:space="0" w:color="D9D9D9"/>
              <w:bottom w:val="single" w:sz="6" w:space="0" w:color="D9D9D9"/>
              <w:right w:val="single" w:sz="6" w:space="0" w:color="D9D9D9"/>
            </w:tcBorders>
            <w:shd w:val="clear" w:color="auto" w:fill="244A73"/>
            <w:tcMar>
              <w:top w:w="95" w:type="dxa"/>
              <w:left w:w="85" w:type="dxa"/>
              <w:bottom w:w="95" w:type="dxa"/>
              <w:right w:w="85" w:type="dxa"/>
            </w:tcMar>
            <w:vAlign w:val="center"/>
          </w:tcPr>
          <w:p w:rsidR="00EF2602" w:rsidRDefault="00EF2602" w:rsidP="00C14A81">
            <w:pPr>
              <w:spacing w:after="0" w:line="240" w:lineRule="auto"/>
              <w:jc w:val="center"/>
              <w:rPr>
                <w:rFonts w:hint="eastAsia"/>
              </w:rPr>
            </w:pPr>
            <w:proofErr w:type="spellStart"/>
            <w:r>
              <w:rPr>
                <w:b/>
                <w:color w:val="FFFFFF"/>
                <w:sz w:val="17"/>
              </w:rPr>
              <w:t>Gerçek</w:t>
            </w:r>
            <w:proofErr w:type="spellEnd"/>
            <w:r>
              <w:rPr>
                <w:b/>
                <w:color w:val="FFFFFF"/>
                <w:sz w:val="17"/>
              </w:rPr>
              <w:t xml:space="preserve"> </w:t>
            </w:r>
            <w:proofErr w:type="spellStart"/>
            <w:r>
              <w:rPr>
                <w:b/>
                <w:color w:val="FFFFFF"/>
                <w:sz w:val="17"/>
              </w:rPr>
              <w:t>sonsuz</w:t>
            </w:r>
            <w:proofErr w:type="spellEnd"/>
            <w:r>
              <w:rPr>
                <w:b/>
                <w:color w:val="FFFFFF"/>
                <w:sz w:val="17"/>
              </w:rPr>
              <w:t xml:space="preserve"> </w:t>
            </w:r>
            <w:proofErr w:type="spellStart"/>
            <w:r>
              <w:rPr>
                <w:b/>
                <w:color w:val="FFFFFF"/>
                <w:sz w:val="17"/>
              </w:rPr>
              <w:t>kayış</w:t>
            </w:r>
            <w:proofErr w:type="spellEnd"/>
          </w:p>
        </w:tc>
      </w:tr>
      <w:tr w:rsidR="00EF2602" w:rsidTr="00C14A81">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Üretim</w:t>
            </w:r>
            <w:proofErr w:type="spellEnd"/>
            <w:r>
              <w:rPr>
                <w:sz w:val="17"/>
              </w:rPr>
              <w:t xml:space="preserve"> </w:t>
            </w:r>
            <w:proofErr w:type="spellStart"/>
            <w:r>
              <w:rPr>
                <w:sz w:val="17"/>
              </w:rPr>
              <w:t>biçimi</w:t>
            </w:r>
            <w:proofErr w:type="spellEnd"/>
          </w:p>
        </w:tc>
        <w:tc>
          <w:tcPr>
            <w:tcW w:w="2665"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Rulo</w:t>
            </w:r>
            <w:proofErr w:type="spellEnd"/>
            <w:r>
              <w:rPr>
                <w:sz w:val="17"/>
              </w:rPr>
              <w:t xml:space="preserve"> </w:t>
            </w:r>
            <w:proofErr w:type="spellStart"/>
            <w:r>
              <w:rPr>
                <w:sz w:val="17"/>
              </w:rPr>
              <w:t>veya</w:t>
            </w:r>
            <w:proofErr w:type="spellEnd"/>
            <w:r>
              <w:rPr>
                <w:sz w:val="17"/>
              </w:rPr>
              <w:t xml:space="preserve"> </w:t>
            </w:r>
            <w:proofErr w:type="spellStart"/>
            <w:r>
              <w:rPr>
                <w:sz w:val="17"/>
              </w:rPr>
              <w:t>sabit</w:t>
            </w:r>
            <w:proofErr w:type="spellEnd"/>
            <w:r>
              <w:rPr>
                <w:sz w:val="17"/>
              </w:rPr>
              <w:t xml:space="preserve"> </w:t>
            </w:r>
            <w:proofErr w:type="spellStart"/>
            <w:r>
              <w:rPr>
                <w:sz w:val="17"/>
              </w:rPr>
              <w:t>metraj</w:t>
            </w:r>
            <w:proofErr w:type="spellEnd"/>
            <w:r>
              <w:rPr>
                <w:sz w:val="17"/>
              </w:rPr>
              <w:t xml:space="preserve">; </w:t>
            </w:r>
            <w:proofErr w:type="spellStart"/>
            <w:r>
              <w:rPr>
                <w:sz w:val="17"/>
              </w:rPr>
              <w:t>paralel</w:t>
            </w:r>
            <w:proofErr w:type="spellEnd"/>
            <w:r>
              <w:rPr>
                <w:sz w:val="17"/>
              </w:rPr>
              <w:t xml:space="preserve"> </w:t>
            </w:r>
            <w:proofErr w:type="spellStart"/>
            <w:r>
              <w:rPr>
                <w:sz w:val="17"/>
              </w:rPr>
              <w:t>kord</w:t>
            </w:r>
            <w:proofErr w:type="spellEnd"/>
          </w:p>
        </w:tc>
        <w:tc>
          <w:tcPr>
            <w:tcW w:w="272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Açık</w:t>
            </w:r>
            <w:proofErr w:type="spellEnd"/>
            <w:r>
              <w:rPr>
                <w:sz w:val="17"/>
              </w:rPr>
              <w:t xml:space="preserve"> </w:t>
            </w:r>
            <w:proofErr w:type="spellStart"/>
            <w:r>
              <w:rPr>
                <w:sz w:val="17"/>
              </w:rPr>
              <w:t>uçlu</w:t>
            </w:r>
            <w:proofErr w:type="spellEnd"/>
            <w:r>
              <w:rPr>
                <w:sz w:val="17"/>
              </w:rPr>
              <w:t xml:space="preserve"> </w:t>
            </w:r>
            <w:proofErr w:type="spellStart"/>
            <w:r>
              <w:rPr>
                <w:sz w:val="17"/>
              </w:rPr>
              <w:t>kayışın</w:t>
            </w:r>
            <w:proofErr w:type="spellEnd"/>
            <w:r>
              <w:rPr>
                <w:sz w:val="17"/>
              </w:rPr>
              <w:t xml:space="preserve"> </w:t>
            </w:r>
            <w:proofErr w:type="spellStart"/>
            <w:r>
              <w:rPr>
                <w:sz w:val="17"/>
              </w:rPr>
              <w:t>kaynakla</w:t>
            </w:r>
            <w:proofErr w:type="spellEnd"/>
            <w:r>
              <w:rPr>
                <w:sz w:val="17"/>
              </w:rPr>
              <w:t xml:space="preserve"> </w:t>
            </w:r>
            <w:proofErr w:type="spellStart"/>
            <w:r>
              <w:rPr>
                <w:sz w:val="17"/>
              </w:rPr>
              <w:t>birleştirilmesi</w:t>
            </w:r>
            <w:proofErr w:type="spellEnd"/>
          </w:p>
        </w:tc>
        <w:tc>
          <w:tcPr>
            <w:tcW w:w="272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Kalıpta</w:t>
            </w:r>
            <w:proofErr w:type="spellEnd"/>
            <w:r>
              <w:rPr>
                <w:sz w:val="17"/>
              </w:rPr>
              <w:t xml:space="preserve"> </w:t>
            </w:r>
            <w:proofErr w:type="spellStart"/>
            <w:r>
              <w:rPr>
                <w:sz w:val="17"/>
              </w:rPr>
              <w:t>veya</w:t>
            </w:r>
            <w:proofErr w:type="spellEnd"/>
            <w:r>
              <w:rPr>
                <w:sz w:val="17"/>
              </w:rPr>
              <w:t xml:space="preserve"> </w:t>
            </w:r>
            <w:proofErr w:type="spellStart"/>
            <w:r>
              <w:rPr>
                <w:sz w:val="17"/>
              </w:rPr>
              <w:t>kesintisiz</w:t>
            </w:r>
            <w:proofErr w:type="spellEnd"/>
            <w:r>
              <w:rPr>
                <w:sz w:val="17"/>
              </w:rPr>
              <w:t xml:space="preserve"> </w:t>
            </w:r>
            <w:proofErr w:type="spellStart"/>
            <w:r>
              <w:rPr>
                <w:sz w:val="17"/>
              </w:rPr>
              <w:t>kord</w:t>
            </w:r>
            <w:proofErr w:type="spellEnd"/>
            <w:r>
              <w:rPr>
                <w:sz w:val="17"/>
              </w:rPr>
              <w:t xml:space="preserve"> </w:t>
            </w:r>
            <w:proofErr w:type="spellStart"/>
            <w:r>
              <w:rPr>
                <w:sz w:val="17"/>
              </w:rPr>
              <w:t>sarımıyla</w:t>
            </w:r>
            <w:proofErr w:type="spellEnd"/>
            <w:r>
              <w:rPr>
                <w:sz w:val="17"/>
              </w:rPr>
              <w:t xml:space="preserve"> </w:t>
            </w:r>
            <w:proofErr w:type="spellStart"/>
            <w:r>
              <w:rPr>
                <w:sz w:val="17"/>
              </w:rPr>
              <w:t>ek</w:t>
            </w:r>
            <w:proofErr w:type="spellEnd"/>
            <w:r>
              <w:rPr>
                <w:sz w:val="17"/>
              </w:rPr>
              <w:t xml:space="preserve"> </w:t>
            </w:r>
            <w:proofErr w:type="spellStart"/>
            <w:r>
              <w:rPr>
                <w:sz w:val="17"/>
              </w:rPr>
              <w:t>yeri</w:t>
            </w:r>
            <w:proofErr w:type="spellEnd"/>
            <w:r>
              <w:rPr>
                <w:sz w:val="17"/>
              </w:rPr>
              <w:t xml:space="preserve"> </w:t>
            </w:r>
            <w:proofErr w:type="spellStart"/>
            <w:r>
              <w:rPr>
                <w:sz w:val="17"/>
              </w:rPr>
              <w:t>olmadan</w:t>
            </w:r>
            <w:proofErr w:type="spellEnd"/>
            <w:r>
              <w:rPr>
                <w:sz w:val="17"/>
              </w:rPr>
              <w:t xml:space="preserve"> </w:t>
            </w:r>
            <w:proofErr w:type="spellStart"/>
            <w:r>
              <w:rPr>
                <w:sz w:val="17"/>
              </w:rPr>
              <w:t>üretim</w:t>
            </w:r>
            <w:proofErr w:type="spellEnd"/>
          </w:p>
        </w:tc>
      </w:tr>
      <w:tr w:rsidR="00EF2602" w:rsidTr="00C14A81">
        <w:trPr>
          <w:jc w:val="center"/>
        </w:trPr>
        <w:tc>
          <w:tcPr>
            <w:tcW w:w="175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EF2602" w:rsidRDefault="00EF2602" w:rsidP="00C14A81">
            <w:pPr>
              <w:spacing w:after="0" w:line="245" w:lineRule="auto"/>
              <w:rPr>
                <w:rFonts w:hint="eastAsia"/>
              </w:rPr>
            </w:pPr>
            <w:r>
              <w:rPr>
                <w:sz w:val="17"/>
              </w:rPr>
              <w:t xml:space="preserve">Ana </w:t>
            </w:r>
            <w:proofErr w:type="spellStart"/>
            <w:r>
              <w:rPr>
                <w:sz w:val="17"/>
              </w:rPr>
              <w:t>kullanım</w:t>
            </w:r>
            <w:proofErr w:type="spellEnd"/>
          </w:p>
        </w:tc>
        <w:tc>
          <w:tcPr>
            <w:tcW w:w="2665"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Lineer</w:t>
            </w:r>
            <w:proofErr w:type="spellEnd"/>
            <w:r>
              <w:rPr>
                <w:sz w:val="17"/>
              </w:rPr>
              <w:t xml:space="preserve"> </w:t>
            </w:r>
            <w:proofErr w:type="spellStart"/>
            <w:r>
              <w:rPr>
                <w:sz w:val="17"/>
              </w:rPr>
              <w:t>hareket</w:t>
            </w:r>
            <w:proofErr w:type="spellEnd"/>
            <w:r>
              <w:rPr>
                <w:sz w:val="17"/>
              </w:rPr>
              <w:t xml:space="preserve"> </w:t>
            </w:r>
            <w:proofErr w:type="spellStart"/>
            <w:r>
              <w:rPr>
                <w:sz w:val="17"/>
              </w:rPr>
              <w:t>ve</w:t>
            </w:r>
            <w:proofErr w:type="spellEnd"/>
            <w:r>
              <w:rPr>
                <w:sz w:val="17"/>
              </w:rPr>
              <w:t xml:space="preserve"> </w:t>
            </w:r>
            <w:proofErr w:type="spellStart"/>
            <w:r>
              <w:rPr>
                <w:sz w:val="17"/>
              </w:rPr>
              <w:t>sabit</w:t>
            </w:r>
            <w:proofErr w:type="spellEnd"/>
            <w:r>
              <w:rPr>
                <w:sz w:val="17"/>
              </w:rPr>
              <w:t xml:space="preserve"> </w:t>
            </w:r>
            <w:proofErr w:type="spellStart"/>
            <w:r>
              <w:rPr>
                <w:sz w:val="17"/>
              </w:rPr>
              <w:t>uçlu</w:t>
            </w:r>
            <w:proofErr w:type="spellEnd"/>
            <w:r>
              <w:rPr>
                <w:sz w:val="17"/>
              </w:rPr>
              <w:t xml:space="preserve"> </w:t>
            </w:r>
            <w:proofErr w:type="spellStart"/>
            <w:r>
              <w:rPr>
                <w:sz w:val="17"/>
              </w:rPr>
              <w:t>sistem</w:t>
            </w:r>
            <w:proofErr w:type="spellEnd"/>
          </w:p>
        </w:tc>
        <w:tc>
          <w:tcPr>
            <w:tcW w:w="272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Hafif</w:t>
            </w:r>
            <w:proofErr w:type="spellEnd"/>
            <w:r>
              <w:rPr>
                <w:sz w:val="17"/>
              </w:rPr>
              <w:t xml:space="preserve"> </w:t>
            </w:r>
            <w:proofErr w:type="spellStart"/>
            <w:r>
              <w:rPr>
                <w:sz w:val="17"/>
              </w:rPr>
              <w:t>ve</w:t>
            </w:r>
            <w:proofErr w:type="spellEnd"/>
            <w:r>
              <w:rPr>
                <w:sz w:val="17"/>
              </w:rPr>
              <w:t xml:space="preserve"> </w:t>
            </w:r>
            <w:proofErr w:type="spellStart"/>
            <w:r>
              <w:rPr>
                <w:sz w:val="17"/>
              </w:rPr>
              <w:t>orta</w:t>
            </w:r>
            <w:proofErr w:type="spellEnd"/>
            <w:r>
              <w:rPr>
                <w:sz w:val="17"/>
              </w:rPr>
              <w:t xml:space="preserve"> </w:t>
            </w:r>
            <w:proofErr w:type="spellStart"/>
            <w:r>
              <w:rPr>
                <w:sz w:val="17"/>
              </w:rPr>
              <w:t>yük</w:t>
            </w:r>
            <w:proofErr w:type="spellEnd"/>
            <w:r>
              <w:rPr>
                <w:sz w:val="17"/>
              </w:rPr>
              <w:t xml:space="preserve"> </w:t>
            </w:r>
            <w:proofErr w:type="spellStart"/>
            <w:r>
              <w:rPr>
                <w:sz w:val="17"/>
              </w:rPr>
              <w:t>taşıma</w:t>
            </w:r>
            <w:proofErr w:type="spellEnd"/>
          </w:p>
        </w:tc>
        <w:tc>
          <w:tcPr>
            <w:tcW w:w="272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Döner</w:t>
            </w:r>
            <w:proofErr w:type="spellEnd"/>
            <w:r>
              <w:rPr>
                <w:sz w:val="17"/>
              </w:rPr>
              <w:t xml:space="preserve"> </w:t>
            </w:r>
            <w:proofErr w:type="spellStart"/>
            <w:r>
              <w:rPr>
                <w:sz w:val="17"/>
              </w:rPr>
              <w:t>güç</w:t>
            </w:r>
            <w:proofErr w:type="spellEnd"/>
            <w:r>
              <w:rPr>
                <w:sz w:val="17"/>
              </w:rPr>
              <w:t xml:space="preserve"> </w:t>
            </w:r>
            <w:proofErr w:type="spellStart"/>
            <w:r>
              <w:rPr>
                <w:sz w:val="17"/>
              </w:rPr>
              <w:t>aktarımı</w:t>
            </w:r>
            <w:proofErr w:type="spellEnd"/>
            <w:r>
              <w:rPr>
                <w:sz w:val="17"/>
              </w:rPr>
              <w:t xml:space="preserve"> </w:t>
            </w:r>
            <w:proofErr w:type="spellStart"/>
            <w:r>
              <w:rPr>
                <w:sz w:val="17"/>
              </w:rPr>
              <w:t>ve</w:t>
            </w:r>
            <w:proofErr w:type="spellEnd"/>
            <w:r>
              <w:rPr>
                <w:sz w:val="17"/>
              </w:rPr>
              <w:t xml:space="preserve"> </w:t>
            </w:r>
            <w:proofErr w:type="spellStart"/>
            <w:r>
              <w:rPr>
                <w:sz w:val="17"/>
              </w:rPr>
              <w:t>yüksek</w:t>
            </w:r>
            <w:proofErr w:type="spellEnd"/>
            <w:r>
              <w:rPr>
                <w:sz w:val="17"/>
              </w:rPr>
              <w:t xml:space="preserve"> </w:t>
            </w:r>
            <w:proofErr w:type="spellStart"/>
            <w:r>
              <w:rPr>
                <w:sz w:val="17"/>
              </w:rPr>
              <w:t>çevrimli</w:t>
            </w:r>
            <w:proofErr w:type="spellEnd"/>
            <w:r>
              <w:rPr>
                <w:sz w:val="17"/>
              </w:rPr>
              <w:t xml:space="preserve"> </w:t>
            </w:r>
            <w:proofErr w:type="spellStart"/>
            <w:r>
              <w:rPr>
                <w:sz w:val="17"/>
              </w:rPr>
              <w:t>tahrik</w:t>
            </w:r>
            <w:proofErr w:type="spellEnd"/>
          </w:p>
        </w:tc>
      </w:tr>
      <w:tr w:rsidR="00EF2602" w:rsidTr="00C14A81">
        <w:trPr>
          <w:jc w:val="center"/>
        </w:trPr>
        <w:tc>
          <w:tcPr>
            <w:tcW w:w="1757"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Uç</w:t>
            </w:r>
            <w:proofErr w:type="spellEnd"/>
            <w:r>
              <w:rPr>
                <w:sz w:val="17"/>
              </w:rPr>
              <w:t xml:space="preserve"> </w:t>
            </w:r>
            <w:proofErr w:type="spellStart"/>
            <w:r>
              <w:rPr>
                <w:sz w:val="17"/>
              </w:rPr>
              <w:t>bağlantısı</w:t>
            </w:r>
            <w:proofErr w:type="spellEnd"/>
          </w:p>
        </w:tc>
        <w:tc>
          <w:tcPr>
            <w:tcW w:w="2665"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Kelepçe</w:t>
            </w:r>
            <w:proofErr w:type="spellEnd"/>
            <w:r>
              <w:rPr>
                <w:sz w:val="17"/>
              </w:rPr>
              <w:t xml:space="preserve"> </w:t>
            </w:r>
            <w:proofErr w:type="spellStart"/>
            <w:r>
              <w:rPr>
                <w:sz w:val="17"/>
              </w:rPr>
              <w:t>plakası</w:t>
            </w:r>
            <w:proofErr w:type="spellEnd"/>
            <w:r>
              <w:rPr>
                <w:sz w:val="17"/>
              </w:rPr>
              <w:t xml:space="preserve"> </w:t>
            </w:r>
            <w:proofErr w:type="spellStart"/>
            <w:r>
              <w:rPr>
                <w:sz w:val="17"/>
              </w:rPr>
              <w:t>veya</w:t>
            </w:r>
            <w:proofErr w:type="spellEnd"/>
            <w:r>
              <w:rPr>
                <w:sz w:val="17"/>
              </w:rPr>
              <w:t xml:space="preserve"> </w:t>
            </w:r>
            <w:proofErr w:type="spellStart"/>
            <w:r>
              <w:rPr>
                <w:sz w:val="17"/>
              </w:rPr>
              <w:t>mekanik</w:t>
            </w:r>
            <w:proofErr w:type="spellEnd"/>
            <w:r>
              <w:rPr>
                <w:sz w:val="17"/>
              </w:rPr>
              <w:t xml:space="preserve"> </w:t>
            </w:r>
            <w:proofErr w:type="spellStart"/>
            <w:r>
              <w:rPr>
                <w:sz w:val="17"/>
              </w:rPr>
              <w:t>sabitleme</w:t>
            </w:r>
            <w:proofErr w:type="spellEnd"/>
          </w:p>
        </w:tc>
        <w:tc>
          <w:tcPr>
            <w:tcW w:w="272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Kaynaklı</w:t>
            </w:r>
            <w:proofErr w:type="spellEnd"/>
            <w:r>
              <w:rPr>
                <w:sz w:val="17"/>
              </w:rPr>
              <w:t xml:space="preserve"> </w:t>
            </w:r>
            <w:proofErr w:type="spellStart"/>
            <w:r>
              <w:rPr>
                <w:sz w:val="17"/>
              </w:rPr>
              <w:t>ek</w:t>
            </w:r>
            <w:proofErr w:type="spellEnd"/>
            <w:r>
              <w:rPr>
                <w:sz w:val="17"/>
              </w:rPr>
              <w:t xml:space="preserve"> </w:t>
            </w:r>
            <w:proofErr w:type="spellStart"/>
            <w:r>
              <w:rPr>
                <w:sz w:val="17"/>
              </w:rPr>
              <w:t>bölgesi</w:t>
            </w:r>
            <w:proofErr w:type="spellEnd"/>
            <w:r>
              <w:rPr>
                <w:sz w:val="17"/>
              </w:rPr>
              <w:t xml:space="preserve"> </w:t>
            </w:r>
            <w:proofErr w:type="spellStart"/>
            <w:r>
              <w:rPr>
                <w:sz w:val="17"/>
              </w:rPr>
              <w:t>vardır</w:t>
            </w:r>
            <w:proofErr w:type="spellEnd"/>
          </w:p>
        </w:tc>
        <w:tc>
          <w:tcPr>
            <w:tcW w:w="2721" w:type="dxa"/>
            <w:tcBorders>
              <w:top w:val="single" w:sz="6" w:space="0" w:color="D9D9D9"/>
              <w:left w:val="single" w:sz="6" w:space="0" w:color="D9D9D9"/>
              <w:bottom w:val="single" w:sz="6" w:space="0" w:color="D9D9D9"/>
              <w:right w:val="single" w:sz="6" w:space="0" w:color="D9D9D9"/>
            </w:tcBorders>
            <w:shd w:val="clear" w:color="auto" w:fill="EAF1F7"/>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Uç</w:t>
            </w:r>
            <w:proofErr w:type="spellEnd"/>
            <w:r>
              <w:rPr>
                <w:sz w:val="17"/>
              </w:rPr>
              <w:t xml:space="preserve"> </w:t>
            </w:r>
            <w:proofErr w:type="spellStart"/>
            <w:r>
              <w:rPr>
                <w:sz w:val="17"/>
              </w:rPr>
              <w:t>veya</w:t>
            </w:r>
            <w:proofErr w:type="spellEnd"/>
            <w:r>
              <w:rPr>
                <w:sz w:val="17"/>
              </w:rPr>
              <w:t xml:space="preserve"> </w:t>
            </w:r>
            <w:proofErr w:type="spellStart"/>
            <w:r>
              <w:rPr>
                <w:sz w:val="17"/>
              </w:rPr>
              <w:t>ek</w:t>
            </w:r>
            <w:proofErr w:type="spellEnd"/>
            <w:r>
              <w:rPr>
                <w:sz w:val="17"/>
              </w:rPr>
              <w:t xml:space="preserve"> </w:t>
            </w:r>
            <w:proofErr w:type="spellStart"/>
            <w:r>
              <w:rPr>
                <w:sz w:val="17"/>
              </w:rPr>
              <w:t>bölgesi</w:t>
            </w:r>
            <w:proofErr w:type="spellEnd"/>
            <w:r>
              <w:rPr>
                <w:sz w:val="17"/>
              </w:rPr>
              <w:t xml:space="preserve"> </w:t>
            </w:r>
            <w:proofErr w:type="spellStart"/>
            <w:r>
              <w:rPr>
                <w:sz w:val="17"/>
              </w:rPr>
              <w:t>yoktur</w:t>
            </w:r>
            <w:proofErr w:type="spellEnd"/>
          </w:p>
        </w:tc>
      </w:tr>
      <w:tr w:rsidR="00EF2602" w:rsidTr="00C14A81">
        <w:trPr>
          <w:jc w:val="center"/>
        </w:trPr>
        <w:tc>
          <w:tcPr>
            <w:tcW w:w="1757"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Taşıma</w:t>
            </w:r>
            <w:proofErr w:type="spellEnd"/>
            <w:r>
              <w:rPr>
                <w:sz w:val="17"/>
              </w:rPr>
              <w:t xml:space="preserve"> </w:t>
            </w:r>
            <w:proofErr w:type="spellStart"/>
            <w:r>
              <w:rPr>
                <w:sz w:val="17"/>
              </w:rPr>
              <w:t>kapasitesi</w:t>
            </w:r>
            <w:proofErr w:type="spellEnd"/>
          </w:p>
        </w:tc>
        <w:tc>
          <w:tcPr>
            <w:tcW w:w="2665"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Kord</w:t>
            </w:r>
            <w:proofErr w:type="spellEnd"/>
            <w:r>
              <w:rPr>
                <w:sz w:val="17"/>
              </w:rPr>
              <w:t xml:space="preserve"> </w:t>
            </w:r>
            <w:proofErr w:type="spellStart"/>
            <w:r>
              <w:rPr>
                <w:sz w:val="17"/>
              </w:rPr>
              <w:t>ve</w:t>
            </w:r>
            <w:proofErr w:type="spellEnd"/>
            <w:r>
              <w:rPr>
                <w:sz w:val="17"/>
              </w:rPr>
              <w:t xml:space="preserve"> </w:t>
            </w:r>
            <w:proofErr w:type="spellStart"/>
            <w:r>
              <w:rPr>
                <w:sz w:val="17"/>
              </w:rPr>
              <w:t>kelepçe</w:t>
            </w:r>
            <w:proofErr w:type="spellEnd"/>
            <w:r>
              <w:rPr>
                <w:sz w:val="17"/>
              </w:rPr>
              <w:t xml:space="preserve"> </w:t>
            </w:r>
            <w:proofErr w:type="spellStart"/>
            <w:r>
              <w:rPr>
                <w:sz w:val="17"/>
              </w:rPr>
              <w:t>tasarımına</w:t>
            </w:r>
            <w:proofErr w:type="spellEnd"/>
            <w:r>
              <w:rPr>
                <w:sz w:val="17"/>
              </w:rPr>
              <w:t xml:space="preserve"> </w:t>
            </w:r>
            <w:proofErr w:type="spellStart"/>
            <w:r>
              <w:rPr>
                <w:sz w:val="17"/>
              </w:rPr>
              <w:t>bağlıdır</w:t>
            </w:r>
            <w:proofErr w:type="spellEnd"/>
          </w:p>
        </w:tc>
        <w:tc>
          <w:tcPr>
            <w:tcW w:w="272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Ek</w:t>
            </w:r>
            <w:proofErr w:type="spellEnd"/>
            <w:r>
              <w:rPr>
                <w:sz w:val="17"/>
              </w:rPr>
              <w:t xml:space="preserve"> </w:t>
            </w:r>
            <w:proofErr w:type="spellStart"/>
            <w:r>
              <w:rPr>
                <w:sz w:val="17"/>
              </w:rPr>
              <w:t>bölgesi</w:t>
            </w:r>
            <w:proofErr w:type="spellEnd"/>
            <w:r>
              <w:rPr>
                <w:sz w:val="17"/>
              </w:rPr>
              <w:t xml:space="preserve"> </w:t>
            </w:r>
            <w:proofErr w:type="spellStart"/>
            <w:r>
              <w:rPr>
                <w:sz w:val="17"/>
              </w:rPr>
              <w:t>nedeniyle</w:t>
            </w:r>
            <w:proofErr w:type="spellEnd"/>
            <w:r>
              <w:rPr>
                <w:sz w:val="17"/>
              </w:rPr>
              <w:t xml:space="preserve"> </w:t>
            </w:r>
            <w:proofErr w:type="spellStart"/>
            <w:r>
              <w:rPr>
                <w:sz w:val="17"/>
              </w:rPr>
              <w:t>kopma</w:t>
            </w:r>
            <w:proofErr w:type="spellEnd"/>
            <w:r>
              <w:rPr>
                <w:sz w:val="17"/>
              </w:rPr>
              <w:t xml:space="preserve"> </w:t>
            </w:r>
            <w:proofErr w:type="spellStart"/>
            <w:r>
              <w:rPr>
                <w:sz w:val="17"/>
              </w:rPr>
              <w:t>riski</w:t>
            </w:r>
            <w:proofErr w:type="spellEnd"/>
            <w:r>
              <w:rPr>
                <w:sz w:val="17"/>
              </w:rPr>
              <w:t xml:space="preserve"> </w:t>
            </w:r>
            <w:proofErr w:type="spellStart"/>
            <w:r>
              <w:rPr>
                <w:sz w:val="17"/>
              </w:rPr>
              <w:t>var</w:t>
            </w:r>
            <w:proofErr w:type="spellEnd"/>
          </w:p>
        </w:tc>
        <w:tc>
          <w:tcPr>
            <w:tcW w:w="2721" w:type="dxa"/>
            <w:tcBorders>
              <w:top w:val="single" w:sz="6" w:space="0" w:color="D9D9D9"/>
              <w:left w:val="single" w:sz="6" w:space="0" w:color="D9D9D9"/>
              <w:bottom w:val="single" w:sz="6" w:space="0" w:color="D9D9D9"/>
              <w:right w:val="single" w:sz="6" w:space="0" w:color="D9D9D9"/>
            </w:tcBorders>
            <w:tcMar>
              <w:top w:w="80" w:type="dxa"/>
              <w:left w:w="85" w:type="dxa"/>
              <w:bottom w:w="80" w:type="dxa"/>
              <w:right w:w="85" w:type="dxa"/>
            </w:tcMar>
            <w:vAlign w:val="center"/>
          </w:tcPr>
          <w:p w:rsidR="00EF2602" w:rsidRDefault="00EF2602" w:rsidP="00C14A81">
            <w:pPr>
              <w:spacing w:after="0" w:line="245" w:lineRule="auto"/>
              <w:rPr>
                <w:rFonts w:hint="eastAsia"/>
              </w:rPr>
            </w:pPr>
            <w:proofErr w:type="spellStart"/>
            <w:r>
              <w:rPr>
                <w:sz w:val="17"/>
              </w:rPr>
              <w:t>Çevre</w:t>
            </w:r>
            <w:proofErr w:type="spellEnd"/>
            <w:r>
              <w:rPr>
                <w:sz w:val="17"/>
              </w:rPr>
              <w:t xml:space="preserve"> </w:t>
            </w:r>
            <w:proofErr w:type="spellStart"/>
            <w:r>
              <w:rPr>
                <w:sz w:val="17"/>
              </w:rPr>
              <w:t>boyunca</w:t>
            </w:r>
            <w:proofErr w:type="spellEnd"/>
            <w:r>
              <w:rPr>
                <w:sz w:val="17"/>
              </w:rPr>
              <w:t xml:space="preserve"> </w:t>
            </w:r>
            <w:proofErr w:type="spellStart"/>
            <w:r>
              <w:rPr>
                <w:sz w:val="17"/>
              </w:rPr>
              <w:t>sürekli</w:t>
            </w:r>
            <w:proofErr w:type="spellEnd"/>
            <w:r>
              <w:rPr>
                <w:sz w:val="17"/>
              </w:rPr>
              <w:t xml:space="preserve"> </w:t>
            </w:r>
            <w:proofErr w:type="spellStart"/>
            <w:r>
              <w:rPr>
                <w:sz w:val="17"/>
              </w:rPr>
              <w:t>kord</w:t>
            </w:r>
            <w:proofErr w:type="spellEnd"/>
            <w:r>
              <w:rPr>
                <w:sz w:val="17"/>
              </w:rPr>
              <w:t xml:space="preserve"> </w:t>
            </w:r>
            <w:proofErr w:type="spellStart"/>
            <w:r>
              <w:rPr>
                <w:sz w:val="17"/>
              </w:rPr>
              <w:t>yapısı</w:t>
            </w:r>
            <w:proofErr w:type="spellEnd"/>
          </w:p>
        </w:tc>
      </w:tr>
    </w:tbl>
    <w:p w:rsidR="00EF2602" w:rsidRDefault="00EF2602" w:rsidP="00EF2602">
      <w:pPr>
        <w:spacing w:after="40"/>
        <w:rPr>
          <w:rFonts w:hint="eastAsia"/>
        </w:rPr>
      </w:pPr>
    </w:p>
    <w:p w:rsidR="00EF2602" w:rsidRDefault="00EF2602" w:rsidP="00EF2602">
      <w:pPr>
        <w:spacing w:after="40"/>
        <w:rPr>
          <w:rFonts w:hint="eastAsia"/>
        </w:rPr>
      </w:pPr>
    </w:p>
    <w:p w:rsidR="00EF2602" w:rsidRDefault="00EF2602" w:rsidP="00EF2602">
      <w:pPr>
        <w:pStyle w:val="Balk1"/>
      </w:pPr>
      <w:proofErr w:type="spellStart"/>
      <w:r>
        <w:t>Ürün</w:t>
      </w:r>
      <w:proofErr w:type="spellEnd"/>
      <w:r>
        <w:t xml:space="preserve"> </w:t>
      </w:r>
      <w:proofErr w:type="spellStart"/>
      <w:r>
        <w:t>Tanımlama</w:t>
      </w:r>
      <w:proofErr w:type="spellEnd"/>
    </w:p>
    <w:p w:rsidR="00EF2602" w:rsidRDefault="00EF2602" w:rsidP="00EF2602">
      <w:pPr>
        <w:spacing w:after="120" w:line="269" w:lineRule="auto"/>
        <w:rPr>
          <w:rFonts w:hint="eastAsia"/>
        </w:rPr>
      </w:pPr>
      <w:proofErr w:type="spellStart"/>
      <w:r>
        <w:t>Örnek</w:t>
      </w:r>
      <w:proofErr w:type="spellEnd"/>
      <w:r>
        <w:t xml:space="preserve"> </w:t>
      </w:r>
      <w:proofErr w:type="spellStart"/>
      <w:r>
        <w:t>tanım</w:t>
      </w:r>
      <w:proofErr w:type="spellEnd"/>
      <w:r>
        <w:t xml:space="preserve">: 25 AT10 M PAZ. Bu </w:t>
      </w:r>
      <w:proofErr w:type="spellStart"/>
      <w:r>
        <w:t>ifade</w:t>
      </w:r>
      <w:proofErr w:type="spellEnd"/>
      <w:r>
        <w:t xml:space="preserve"> 25 mm </w:t>
      </w:r>
      <w:proofErr w:type="spellStart"/>
      <w:r>
        <w:t>kayış</w:t>
      </w:r>
      <w:proofErr w:type="spellEnd"/>
      <w:r>
        <w:t xml:space="preserve"> </w:t>
      </w:r>
      <w:proofErr w:type="spellStart"/>
      <w:r>
        <w:t>genişliğini</w:t>
      </w:r>
      <w:proofErr w:type="spellEnd"/>
      <w:r>
        <w:t xml:space="preserve">, AT10 </w:t>
      </w:r>
      <w:proofErr w:type="spellStart"/>
      <w:r>
        <w:t>diş</w:t>
      </w:r>
      <w:proofErr w:type="spellEnd"/>
      <w:r>
        <w:t xml:space="preserve"> </w:t>
      </w:r>
      <w:proofErr w:type="spellStart"/>
      <w:r>
        <w:t>profilini</w:t>
      </w:r>
      <w:proofErr w:type="spellEnd"/>
      <w:r>
        <w:t xml:space="preserve">, </w:t>
      </w:r>
      <w:proofErr w:type="spellStart"/>
      <w:r>
        <w:t>açık</w:t>
      </w:r>
      <w:proofErr w:type="spellEnd"/>
      <w:r>
        <w:t xml:space="preserve"> </w:t>
      </w:r>
      <w:proofErr w:type="spellStart"/>
      <w:r>
        <w:t>uçlu</w:t>
      </w:r>
      <w:proofErr w:type="spellEnd"/>
      <w:r>
        <w:t xml:space="preserve"> </w:t>
      </w:r>
      <w:proofErr w:type="spellStart"/>
      <w:r>
        <w:t>metraj</w:t>
      </w:r>
      <w:proofErr w:type="spellEnd"/>
      <w:r>
        <w:t xml:space="preserve"> </w:t>
      </w:r>
      <w:proofErr w:type="spellStart"/>
      <w:r>
        <w:t>tipini</w:t>
      </w:r>
      <w:proofErr w:type="spellEnd"/>
      <w:r>
        <w:t xml:space="preserve"> </w:t>
      </w:r>
      <w:proofErr w:type="spellStart"/>
      <w:r>
        <w:t>ve</w:t>
      </w:r>
      <w:proofErr w:type="spellEnd"/>
      <w:r>
        <w:t xml:space="preserve"> </w:t>
      </w:r>
      <w:proofErr w:type="spellStart"/>
      <w:r>
        <w:t>diş</w:t>
      </w:r>
      <w:proofErr w:type="spellEnd"/>
      <w:r>
        <w:t xml:space="preserve"> </w:t>
      </w:r>
      <w:proofErr w:type="spellStart"/>
      <w:r>
        <w:t>tarafında</w:t>
      </w:r>
      <w:proofErr w:type="spellEnd"/>
      <w:r>
        <w:t xml:space="preserve"> </w:t>
      </w:r>
      <w:proofErr w:type="spellStart"/>
      <w:r>
        <w:t>poliamid</w:t>
      </w:r>
      <w:proofErr w:type="spellEnd"/>
      <w:r>
        <w:t xml:space="preserve"> </w:t>
      </w:r>
      <w:proofErr w:type="spellStart"/>
      <w:r>
        <w:t>kumaş</w:t>
      </w:r>
      <w:proofErr w:type="spellEnd"/>
      <w:r>
        <w:t xml:space="preserve"> </w:t>
      </w:r>
      <w:proofErr w:type="spellStart"/>
      <w:r>
        <w:t>bulunduğunu</w:t>
      </w:r>
      <w:proofErr w:type="spellEnd"/>
      <w:r>
        <w:t xml:space="preserve"> </w:t>
      </w:r>
      <w:proofErr w:type="spellStart"/>
      <w:r>
        <w:t>gösterir</w:t>
      </w:r>
      <w:proofErr w:type="spellEnd"/>
      <w:r>
        <w:t xml:space="preserve">. </w:t>
      </w:r>
      <w:proofErr w:type="spellStart"/>
      <w:r>
        <w:t>Marka</w:t>
      </w:r>
      <w:proofErr w:type="spellEnd"/>
      <w:r>
        <w:t xml:space="preserve"> </w:t>
      </w:r>
      <w:proofErr w:type="spellStart"/>
      <w:r>
        <w:t>kodlaması</w:t>
      </w:r>
      <w:proofErr w:type="spellEnd"/>
      <w:r>
        <w:t xml:space="preserve"> </w:t>
      </w:r>
      <w:proofErr w:type="spellStart"/>
      <w:r>
        <w:t>değişebileceği</w:t>
      </w:r>
      <w:proofErr w:type="spellEnd"/>
      <w:r>
        <w:t xml:space="preserve"> </w:t>
      </w:r>
      <w:proofErr w:type="spellStart"/>
      <w:r>
        <w:t>için</w:t>
      </w:r>
      <w:proofErr w:type="spellEnd"/>
      <w:r>
        <w:t xml:space="preserve"> </w:t>
      </w:r>
      <w:proofErr w:type="spellStart"/>
      <w:r>
        <w:t>siparişte</w:t>
      </w:r>
      <w:proofErr w:type="spellEnd"/>
      <w:r>
        <w:t xml:space="preserve"> </w:t>
      </w:r>
      <w:proofErr w:type="spellStart"/>
      <w:r>
        <w:t>profil</w:t>
      </w:r>
      <w:proofErr w:type="spellEnd"/>
      <w:r>
        <w:t xml:space="preserve">, </w:t>
      </w:r>
      <w:proofErr w:type="spellStart"/>
      <w:r>
        <w:t>hatve</w:t>
      </w:r>
      <w:proofErr w:type="spellEnd"/>
      <w:r>
        <w:t xml:space="preserve">, </w:t>
      </w:r>
      <w:proofErr w:type="spellStart"/>
      <w:r>
        <w:t>genişlik</w:t>
      </w:r>
      <w:proofErr w:type="spellEnd"/>
      <w:r>
        <w:t xml:space="preserve">, </w:t>
      </w:r>
      <w:proofErr w:type="spellStart"/>
      <w:r>
        <w:t>toplam</w:t>
      </w:r>
      <w:proofErr w:type="spellEnd"/>
      <w:r>
        <w:t xml:space="preserve"> boy, </w:t>
      </w:r>
      <w:proofErr w:type="spellStart"/>
      <w:r>
        <w:t>kord</w:t>
      </w:r>
      <w:proofErr w:type="spellEnd"/>
      <w:r>
        <w:t xml:space="preserve"> tipi, </w:t>
      </w:r>
      <w:proofErr w:type="spellStart"/>
      <w:r>
        <w:t>yüzey</w:t>
      </w:r>
      <w:proofErr w:type="spellEnd"/>
      <w:r>
        <w:t xml:space="preserve"> </w:t>
      </w:r>
      <w:proofErr w:type="spellStart"/>
      <w:r>
        <w:t>kaplaması</w:t>
      </w:r>
      <w:proofErr w:type="spellEnd"/>
      <w:r>
        <w:t xml:space="preserve"> </w:t>
      </w:r>
      <w:proofErr w:type="spellStart"/>
      <w:r>
        <w:t>ve</w:t>
      </w:r>
      <w:proofErr w:type="spellEnd"/>
      <w:r>
        <w:t xml:space="preserve"> </w:t>
      </w:r>
      <w:proofErr w:type="spellStart"/>
      <w:r>
        <w:t>uç</w:t>
      </w:r>
      <w:proofErr w:type="spellEnd"/>
      <w:r>
        <w:t xml:space="preserve"> </w:t>
      </w:r>
      <w:proofErr w:type="spellStart"/>
      <w:r>
        <w:t>bağlantı</w:t>
      </w:r>
      <w:proofErr w:type="spellEnd"/>
      <w:r>
        <w:t xml:space="preserve"> </w:t>
      </w:r>
      <w:proofErr w:type="spellStart"/>
      <w:r>
        <w:t>biçimi</w:t>
      </w:r>
      <w:proofErr w:type="spellEnd"/>
      <w:r>
        <w:t xml:space="preserve"> </w:t>
      </w:r>
      <w:proofErr w:type="spellStart"/>
      <w:r>
        <w:t>birlikte</w:t>
      </w:r>
      <w:proofErr w:type="spellEnd"/>
      <w:r>
        <w:t xml:space="preserve"> </w:t>
      </w:r>
      <w:proofErr w:type="spellStart"/>
      <w:r>
        <w:t>yazılmalıdır</w:t>
      </w:r>
      <w:proofErr w:type="spellEnd"/>
      <w:r>
        <w:t>.</w:t>
      </w:r>
    </w:p>
    <w:p w:rsidR="00EF2602" w:rsidRDefault="00EF2602" w:rsidP="00EF2602">
      <w:pPr>
        <w:rPr>
          <w:rFonts w:hint="eastAsia"/>
        </w:rPr>
      </w:pPr>
      <w:r>
        <w:br w:type="page"/>
      </w:r>
    </w:p>
    <w:p w:rsidR="00EF2602" w:rsidRDefault="00EF2602">
      <w:pPr>
        <w:spacing w:after="120" w:line="269" w:lineRule="auto"/>
        <w:rPr>
          <w:rFonts w:hint="eastAsia"/>
        </w:rPr>
      </w:pPr>
    </w:p>
    <w:p w:rsidR="00490D4E" w:rsidRDefault="001D501C">
      <w:pPr>
        <w:pStyle w:val="Balk1"/>
      </w:pPr>
      <w:r>
        <w:t>Sık Sorulan Sorular</w:t>
      </w:r>
    </w:p>
    <w:p w:rsidR="00490D4E" w:rsidRDefault="001D501C">
      <w:pPr>
        <w:spacing w:before="100" w:after="40"/>
        <w:rPr>
          <w:rFonts w:hint="eastAsia"/>
        </w:rPr>
      </w:pPr>
      <w:r>
        <w:rPr>
          <w:b/>
        </w:rPr>
        <w:t>Açık uçlu kayış sonsuz kayış gibi çalıştırılabilir mi?</w:t>
      </w:r>
    </w:p>
    <w:p w:rsidR="00490D4E" w:rsidRDefault="001D501C">
      <w:pPr>
        <w:spacing w:after="120" w:line="264" w:lineRule="auto"/>
        <w:rPr>
          <w:rFonts w:hint="eastAsia"/>
        </w:rPr>
      </w:pPr>
      <w:r>
        <w:t xml:space="preserve">Kaynakla </w:t>
      </w:r>
      <w:r>
        <w:t>birleştirilerek ekli sonsuz hale getirilebilir; ancak ek bölgesi kord sürekliliğini keser. Güç aktarım kapasitesi gerçek sonsuz kayışla aynı kabul edilmemelidir.</w:t>
      </w:r>
    </w:p>
    <w:p w:rsidR="00490D4E" w:rsidRDefault="001D501C">
      <w:pPr>
        <w:spacing w:before="100" w:after="40"/>
        <w:rPr>
          <w:rFonts w:hint="eastAsia"/>
        </w:rPr>
      </w:pPr>
      <w:r>
        <w:rPr>
          <w:b/>
        </w:rPr>
        <w:t>Minimum kasnak çapı bütün markalarda aynı mıdır?</w:t>
      </w:r>
    </w:p>
    <w:p w:rsidR="00490D4E" w:rsidRDefault="001D501C">
      <w:pPr>
        <w:spacing w:after="120" w:line="264" w:lineRule="auto"/>
        <w:rPr>
          <w:rFonts w:hint="eastAsia"/>
        </w:rPr>
      </w:pPr>
      <w:r>
        <w:t xml:space="preserve">Hayır. Profil aynı olsa bile kord çapı, kord </w:t>
      </w:r>
      <w:r>
        <w:t>sınıfı, PU bileşiği, kumaş ve kaplama minimum kasnak değerini değiştirir. Marka ve seri tablosu son kontroldür.</w:t>
      </w:r>
    </w:p>
    <w:p w:rsidR="00490D4E" w:rsidRDefault="001D501C">
      <w:pPr>
        <w:spacing w:before="100" w:after="40"/>
        <w:rPr>
          <w:rFonts w:hint="eastAsia"/>
        </w:rPr>
      </w:pPr>
      <w:r>
        <w:rPr>
          <w:b/>
        </w:rPr>
        <w:t>AT10 ile T10 aynı kasnakta çalışır mı?</w:t>
      </w:r>
    </w:p>
    <w:p w:rsidR="00490D4E" w:rsidRDefault="001D501C">
      <w:pPr>
        <w:spacing w:after="120" w:line="264" w:lineRule="auto"/>
        <w:rPr>
          <w:rFonts w:hint="eastAsia"/>
        </w:rPr>
      </w:pPr>
      <w:r>
        <w:t>Hayır. Hatveleri aynı olsa da diş tabanı, flank açısı ve kasnak boşluğu farklıdır. Kayış ve kasnak aynı p</w:t>
      </w:r>
      <w:r>
        <w:t>rofil ailesinden seçilmelidir.</w:t>
      </w:r>
    </w:p>
    <w:p w:rsidR="00490D4E" w:rsidRDefault="001D501C">
      <w:pPr>
        <w:spacing w:before="100" w:after="40"/>
        <w:rPr>
          <w:rFonts w:hint="eastAsia"/>
        </w:rPr>
      </w:pPr>
      <w:r>
        <w:rPr>
          <w:b/>
        </w:rPr>
        <w:t>Çelik kordlu kayış hiç uzamaz mı?</w:t>
      </w:r>
    </w:p>
    <w:p w:rsidR="00490D4E" w:rsidRDefault="001D501C">
      <w:pPr>
        <w:spacing w:after="120" w:line="264" w:lineRule="auto"/>
        <w:rPr>
          <w:rFonts w:hint="eastAsia"/>
        </w:rPr>
      </w:pPr>
      <w:r>
        <w:t>Hayır. Çelik kord elastik uzamayı çok azaltır fakat sıfırlamaz. Kuvvet, genişlik, kord kesiti ve serbest açıklık konum hatasını etkiler.</w:t>
      </w:r>
    </w:p>
    <w:p w:rsidR="00490D4E" w:rsidRDefault="001D501C">
      <w:pPr>
        <w:spacing w:before="100" w:after="40"/>
        <w:rPr>
          <w:rFonts w:hint="eastAsia"/>
        </w:rPr>
      </w:pPr>
      <w:r>
        <w:rPr>
          <w:b/>
        </w:rPr>
        <w:t>Kayış genişliği tek başına yükü belirler mi?</w:t>
      </w:r>
    </w:p>
    <w:p w:rsidR="00490D4E" w:rsidRDefault="001D501C">
      <w:pPr>
        <w:spacing w:after="120" w:line="264" w:lineRule="auto"/>
        <w:rPr>
          <w:rFonts w:hint="eastAsia"/>
        </w:rPr>
      </w:pPr>
      <w:r>
        <w:t>Hayır. Ge</w:t>
      </w:r>
      <w:r>
        <w:t>nişlik önemlidir; fakat kord sınıfı, kavramadaki diş sayısı, kelepçe boyu, kasnak çapı, ivme ve çevrim sayısı birlikte değerlendirilir.</w:t>
      </w:r>
    </w:p>
    <w:p w:rsidR="00490D4E" w:rsidRDefault="001D501C">
      <w:pPr>
        <w:spacing w:before="100" w:after="40"/>
        <w:rPr>
          <w:rFonts w:hint="eastAsia"/>
        </w:rPr>
      </w:pPr>
      <w:r>
        <w:rPr>
          <w:b/>
        </w:rPr>
        <w:t>Kayış sırtına kaplama yapılabilir mi?</w:t>
      </w:r>
    </w:p>
    <w:p w:rsidR="00490D4E" w:rsidRDefault="001D501C">
      <w:pPr>
        <w:spacing w:after="120" w:line="264" w:lineRule="auto"/>
        <w:rPr>
          <w:rFonts w:hint="eastAsia"/>
        </w:rPr>
      </w:pPr>
      <w:r>
        <w:t xml:space="preserve">Evet. PU, köpük, kauçuk ve özel sürtünme kaplamaları uygulanabilir. Kaplama </w:t>
      </w:r>
      <w:r>
        <w:t>kalınlığı minimum kasnak ve ters bükülme çapını büyütebilir.</w:t>
      </w:r>
    </w:p>
    <w:p w:rsidR="00490D4E" w:rsidRDefault="00490D4E">
      <w:pPr>
        <w:spacing w:after="120" w:line="269" w:lineRule="auto"/>
        <w:rPr>
          <w:rFonts w:hint="eastAsia"/>
        </w:rPr>
      </w:pPr>
    </w:p>
    <w:sectPr w:rsidR="00490D4E" w:rsidSect="00034616">
      <w:footerReference w:type="default" r:id="rId8"/>
      <w:pgSz w:w="11906" w:h="16838"/>
      <w:pgMar w:top="879" w:right="935" w:bottom="879"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01C" w:rsidRDefault="001D501C">
      <w:pPr>
        <w:spacing w:after="0" w:line="240" w:lineRule="auto"/>
        <w:rPr>
          <w:rFonts w:hint="eastAsia"/>
        </w:rPr>
      </w:pPr>
      <w:r>
        <w:separator/>
      </w:r>
    </w:p>
  </w:endnote>
  <w:endnote w:type="continuationSeparator" w:id="0">
    <w:p w:rsidR="001D501C" w:rsidRDefault="001D501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D4E" w:rsidRDefault="001D501C">
    <w:pPr>
      <w:pStyle w:val="AltBilgi"/>
      <w:jc w:val="center"/>
      <w:rPr>
        <w:rFonts w:hint="eastAsia"/>
      </w:rPr>
    </w:pPr>
    <w:r>
      <w:rPr>
        <w:color w:val="696969"/>
        <w:sz w:val="16"/>
      </w:rPr>
      <w:t>PU Çelik Telli Açık Uçlu Zaman Kayışları</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01C" w:rsidRDefault="001D501C">
      <w:pPr>
        <w:spacing w:after="0" w:line="240" w:lineRule="auto"/>
        <w:rPr>
          <w:rFonts w:hint="eastAsia"/>
        </w:rPr>
      </w:pPr>
      <w:r>
        <w:separator/>
      </w:r>
    </w:p>
  </w:footnote>
  <w:footnote w:type="continuationSeparator" w:id="0">
    <w:p w:rsidR="001D501C" w:rsidRDefault="001D501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D501C"/>
    <w:rsid w:val="0029639D"/>
    <w:rsid w:val="00326F90"/>
    <w:rsid w:val="00490D4E"/>
    <w:rsid w:val="00AA1D8D"/>
    <w:rsid w:val="00B47730"/>
    <w:rsid w:val="00CB0664"/>
    <w:rsid w:val="00E41150"/>
    <w:rsid w:val="00EF26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28F5D0"/>
  <w14:defaultImageDpi w14:val="300"/>
  <w15:docId w15:val="{F95DB8F2-B872-4F1E-B01E-0B0ABB03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color w:val="2D2D2D"/>
      <w:sz w:val="21"/>
    </w:rPr>
  </w:style>
  <w:style w:type="paragraph" w:styleId="Balk1">
    <w:name w:val="heading 1"/>
    <w:basedOn w:val="Normal"/>
    <w:next w:val="Normal"/>
    <w:link w:val="Balk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Balk2">
    <w:name w:val="heading 2"/>
    <w:basedOn w:val="Normal"/>
    <w:next w:val="Normal"/>
    <w:link w:val="Balk2Char"/>
    <w:uiPriority w:val="9"/>
    <w:unhideWhenUsed/>
    <w:qFormat/>
    <w:rsid w:val="00FC693F"/>
    <w:pPr>
      <w:keepNext/>
      <w:keepLines/>
      <w:spacing w:before="140" w:after="100"/>
      <w:outlineLvl w:val="1"/>
    </w:pPr>
    <w:rPr>
      <w:rFonts w:asciiTheme="majorHAnsi" w:eastAsiaTheme="majorEastAsia" w:hAnsiTheme="majorHAnsi" w:cstheme="majorBidi"/>
      <w:b/>
      <w:bCs/>
      <w:color w:val="000000"/>
      <w:sz w:val="25"/>
      <w:szCs w:val="26"/>
    </w:rPr>
  </w:style>
  <w:style w:type="paragraph" w:styleId="Balk3">
    <w:name w:val="heading 3"/>
    <w:basedOn w:val="Normal"/>
    <w:next w:val="Normal"/>
    <w:link w:val="Balk3Char"/>
    <w:uiPriority w:val="9"/>
    <w:unhideWhenUsed/>
    <w:qFormat/>
    <w:rsid w:val="00FC693F"/>
    <w:pPr>
      <w:keepNext/>
      <w:keepLines/>
      <w:spacing w:before="140" w:after="100"/>
      <w:outlineLvl w:val="2"/>
    </w:pPr>
    <w:rPr>
      <w:rFonts w:asciiTheme="majorHAnsi" w:eastAsiaTheme="majorEastAsia" w:hAnsiTheme="majorHAnsi" w:cstheme="majorBidi"/>
      <w:b/>
      <w:bCs/>
      <w:color w:val="000000"/>
      <w:sz w:val="22"/>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67302-996E-44E0-A5D2-42371438D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7</Pages>
  <Words>1852</Words>
  <Characters>10562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 Çelik Telli Açık Uçlu Zaman Kayışları</dc:title>
  <dc:subject>Web sitesi teknik ürün içeriği ve seçim rehberi</dc:subject>
  <dc:creator>ProBelt</dc:creator>
  <cp:keywords>PU zaman kayışı, açık uçlu, çelik kord, minimum kasnak, çalışma sıcaklığı</cp:keywords>
  <dc:description>generated by python-docx</dc:description>
  <cp:lastModifiedBy>user</cp:lastModifiedBy>
  <cp:revision>3</cp:revision>
  <dcterms:created xsi:type="dcterms:W3CDTF">2013-12-23T23:15:00Z</dcterms:created>
  <dcterms:modified xsi:type="dcterms:W3CDTF">2026-09-19T19:07:00Z</dcterms:modified>
  <cp:category/>
</cp:coreProperties>
</file>