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40"/>
        <w:gridCol w:w="1440"/>
        <w:gridCol w:w="1440"/>
        <w:gridCol w:w="1440"/>
        <w:gridCol w:w="1440"/>
        <w:gridCol w:w="1440"/>
        <w:gridCol w:w="1440"/>
      </w:tblGrid>
      <w:tr w:rsidR="00790011">
        <w:trPr>
          <w:cantSplit/>
          <w:jc w:val="center"/>
        </w:trPr>
        <w:tc>
          <w:tcPr>
            <w:tcW w:w="1440" w:type="dxa"/>
            <w:tcMar>
              <w:top w:w="20" w:type="dxa"/>
              <w:left w:w="18" w:type="dxa"/>
              <w:bottom w:w="20" w:type="dxa"/>
              <w:right w:w="18" w:type="dxa"/>
            </w:tcMar>
            <w:vAlign w:val="center"/>
          </w:tcPr>
          <w:p w:rsidR="00790011" w:rsidRDefault="005B61CD" w:rsidP="005B61CD">
            <w:pPr>
              <w:spacing w:after="0" w:line="240" w:lineRule="auto"/>
              <w:jc w:val="center"/>
              <w:rPr>
                <w:rFonts w:hint="eastAsia"/>
              </w:rPr>
            </w:pPr>
            <w:r>
              <w:rPr>
                <w:noProof/>
                <w:lang w:val="tr-TR" w:eastAsia="tr-TR"/>
              </w:rPr>
              <w:drawing>
                <wp:inline distT="0" distB="0" distL="0" distR="0" wp14:anchorId="3671D826" wp14:editId="487E0C69">
                  <wp:extent cx="804672" cy="202680"/>
                  <wp:effectExtent l="0" t="0" r="0" b="0"/>
                  <wp:docPr id="2" name="Continental ContiTech" descr="Continental ContiTe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continental_contitech.png"/>
                          <pic:cNvPicPr/>
                        </pic:nvPicPr>
                        <pic:blipFill>
                          <a:blip r:embed="rId8"/>
                          <a:stretch>
                            <a:fillRect/>
                          </a:stretch>
                        </pic:blipFill>
                        <pic:spPr>
                          <a:xfrm>
                            <a:off x="0" y="0"/>
                            <a:ext cx="804672" cy="202680"/>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5B61CD">
            <w:pPr>
              <w:spacing w:after="0" w:line="240" w:lineRule="auto"/>
              <w:jc w:val="center"/>
              <w:rPr>
                <w:rFonts w:hint="eastAsia"/>
              </w:rPr>
            </w:pPr>
            <w:r>
              <w:rPr>
                <w:noProof/>
                <w:lang w:val="tr-TR" w:eastAsia="tr-TR"/>
              </w:rPr>
              <w:drawing>
                <wp:inline distT="0" distB="0" distL="0" distR="0" wp14:anchorId="17BADCC8" wp14:editId="76B4AB50">
                  <wp:extent cx="804672" cy="316509"/>
                  <wp:effectExtent l="0" t="0" r="0" b="0"/>
                  <wp:docPr id="1" name="Megadyne" descr="Megady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megadyne.png"/>
                          <pic:cNvPicPr/>
                        </pic:nvPicPr>
                        <pic:blipFill>
                          <a:blip r:embed="rId9"/>
                          <a:stretch>
                            <a:fillRect/>
                          </a:stretch>
                        </pic:blipFill>
                        <pic:spPr>
                          <a:xfrm>
                            <a:off x="0" y="0"/>
                            <a:ext cx="804672" cy="316509"/>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2B4ADB">
            <w:pPr>
              <w:spacing w:after="0" w:line="240" w:lineRule="auto"/>
              <w:jc w:val="center"/>
              <w:rPr>
                <w:rFonts w:hint="eastAsia"/>
              </w:rPr>
            </w:pPr>
            <w:r>
              <w:rPr>
                <w:noProof/>
                <w:lang w:val="tr-TR" w:eastAsia="tr-TR"/>
              </w:rPr>
              <w:drawing>
                <wp:inline distT="0" distB="0" distL="0" distR="0">
                  <wp:extent cx="681390" cy="365760"/>
                  <wp:effectExtent l="0" t="0" r="0" b="0"/>
                  <wp:docPr id="3" name="Gates" descr="Ga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gates.png"/>
                          <pic:cNvPicPr/>
                        </pic:nvPicPr>
                        <pic:blipFill>
                          <a:blip r:embed="rId10"/>
                          <a:stretch>
                            <a:fillRect/>
                          </a:stretch>
                        </pic:blipFill>
                        <pic:spPr>
                          <a:xfrm>
                            <a:off x="0" y="0"/>
                            <a:ext cx="681390" cy="365760"/>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2B4ADB">
            <w:pPr>
              <w:spacing w:after="0" w:line="240" w:lineRule="auto"/>
              <w:jc w:val="center"/>
              <w:rPr>
                <w:rFonts w:hint="eastAsia"/>
              </w:rPr>
            </w:pPr>
            <w:r>
              <w:rPr>
                <w:noProof/>
                <w:lang w:val="tr-TR" w:eastAsia="tr-TR"/>
              </w:rPr>
              <w:drawing>
                <wp:inline distT="0" distB="0" distL="0" distR="0">
                  <wp:extent cx="804672" cy="97296"/>
                  <wp:effectExtent l="0" t="0" r="0" b="0"/>
                  <wp:docPr id="4" name="Hutchinson" descr="Hutchin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hutchinson.png"/>
                          <pic:cNvPicPr/>
                        </pic:nvPicPr>
                        <pic:blipFill>
                          <a:blip r:embed="rId11"/>
                          <a:stretch>
                            <a:fillRect/>
                          </a:stretch>
                        </pic:blipFill>
                        <pic:spPr>
                          <a:xfrm>
                            <a:off x="0" y="0"/>
                            <a:ext cx="804672" cy="97296"/>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2B4ADB">
            <w:pPr>
              <w:spacing w:after="0" w:line="240" w:lineRule="auto"/>
              <w:jc w:val="center"/>
              <w:rPr>
                <w:rFonts w:hint="eastAsia"/>
              </w:rPr>
            </w:pPr>
            <w:r>
              <w:rPr>
                <w:noProof/>
                <w:lang w:val="tr-TR" w:eastAsia="tr-TR"/>
              </w:rPr>
              <w:drawing>
                <wp:inline distT="0" distB="0" distL="0" distR="0">
                  <wp:extent cx="798920" cy="365759"/>
                  <wp:effectExtent l="0" t="0" r="0" b="0"/>
                  <wp:docPr id="5" name="Bando" descr="Band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bando.png"/>
                          <pic:cNvPicPr/>
                        </pic:nvPicPr>
                        <pic:blipFill>
                          <a:blip r:embed="rId12"/>
                          <a:stretch>
                            <a:fillRect/>
                          </a:stretch>
                        </pic:blipFill>
                        <pic:spPr>
                          <a:xfrm>
                            <a:off x="0" y="0"/>
                            <a:ext cx="798920" cy="365759"/>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2B4ADB">
            <w:pPr>
              <w:spacing w:after="0" w:line="240" w:lineRule="auto"/>
              <w:jc w:val="center"/>
              <w:rPr>
                <w:rFonts w:hint="eastAsia"/>
              </w:rPr>
            </w:pPr>
            <w:r>
              <w:rPr>
                <w:noProof/>
                <w:lang w:val="tr-TR" w:eastAsia="tr-TR"/>
              </w:rPr>
              <w:drawing>
                <wp:inline distT="0" distB="0" distL="0" distR="0">
                  <wp:extent cx="653733" cy="365760"/>
                  <wp:effectExtent l="0" t="0" r="0" b="0"/>
                  <wp:docPr id="6" name="Optibelt" descr="Optibel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optibelt.png"/>
                          <pic:cNvPicPr/>
                        </pic:nvPicPr>
                        <pic:blipFill>
                          <a:blip r:embed="rId13"/>
                          <a:stretch>
                            <a:fillRect/>
                          </a:stretch>
                        </pic:blipFill>
                        <pic:spPr>
                          <a:xfrm>
                            <a:off x="0" y="0"/>
                            <a:ext cx="653733" cy="365760"/>
                          </a:xfrm>
                          <a:prstGeom prst="rect">
                            <a:avLst/>
                          </a:prstGeom>
                        </pic:spPr>
                      </pic:pic>
                    </a:graphicData>
                  </a:graphic>
                </wp:inline>
              </w:drawing>
            </w:r>
          </w:p>
        </w:tc>
        <w:tc>
          <w:tcPr>
            <w:tcW w:w="1440" w:type="dxa"/>
            <w:tcMar>
              <w:top w:w="20" w:type="dxa"/>
              <w:left w:w="18" w:type="dxa"/>
              <w:bottom w:w="20" w:type="dxa"/>
              <w:right w:w="18" w:type="dxa"/>
            </w:tcMar>
            <w:vAlign w:val="center"/>
          </w:tcPr>
          <w:p w:rsidR="00790011" w:rsidRDefault="002B4ADB">
            <w:pPr>
              <w:spacing w:after="0" w:line="240" w:lineRule="auto"/>
              <w:jc w:val="center"/>
              <w:rPr>
                <w:rFonts w:hint="eastAsia"/>
              </w:rPr>
            </w:pPr>
            <w:r>
              <w:rPr>
                <w:noProof/>
                <w:lang w:val="tr-TR" w:eastAsia="tr-TR"/>
              </w:rPr>
              <w:drawing>
                <wp:inline distT="0" distB="0" distL="0" distR="0">
                  <wp:extent cx="804672" cy="91529"/>
                  <wp:effectExtent l="0" t="0" r="0" b="0"/>
                  <wp:docPr id="7" name="Mitsuboshi" descr="Mitsubosh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mitsuboshi.png"/>
                          <pic:cNvPicPr/>
                        </pic:nvPicPr>
                        <pic:blipFill>
                          <a:blip r:embed="rId14"/>
                          <a:stretch>
                            <a:fillRect/>
                          </a:stretch>
                        </pic:blipFill>
                        <pic:spPr>
                          <a:xfrm>
                            <a:off x="0" y="0"/>
                            <a:ext cx="804672" cy="91529"/>
                          </a:xfrm>
                          <a:prstGeom prst="rect">
                            <a:avLst/>
                          </a:prstGeom>
                        </pic:spPr>
                      </pic:pic>
                    </a:graphicData>
                  </a:graphic>
                </wp:inline>
              </w:drawing>
            </w:r>
          </w:p>
        </w:tc>
      </w:tr>
    </w:tbl>
    <w:p w:rsidR="00595F44" w:rsidRDefault="00115032">
      <w:pPr>
        <w:pStyle w:val="Balk2"/>
        <w:spacing w:before="160"/>
      </w:pPr>
      <w:proofErr w:type="spellStart"/>
      <w:r>
        <w:t>Sonsuz</w:t>
      </w:r>
      <w:proofErr w:type="spellEnd"/>
      <w:r>
        <w:t xml:space="preserve"> </w:t>
      </w:r>
      <w:proofErr w:type="spellStart"/>
      <w:r w:rsidR="0071066D">
        <w:t>Kauçuk</w:t>
      </w:r>
      <w:proofErr w:type="spellEnd"/>
      <w:r w:rsidR="0071066D">
        <w:t xml:space="preserve"> Zaman </w:t>
      </w:r>
      <w:proofErr w:type="spellStart"/>
      <w:r w:rsidR="0071066D">
        <w:t>Kayışı</w:t>
      </w:r>
      <w:proofErr w:type="spellEnd"/>
    </w:p>
    <w:p w:rsidR="00595F44" w:rsidRDefault="00115032">
      <w:pPr>
        <w:rPr>
          <w:rFonts w:hint="eastAsia"/>
        </w:rPr>
      </w:pPr>
      <w:r>
        <w:t>Kauçuk sonsuz zaman kayışı; motor ile tahrik edilen mil arasında kaymasız, senkron ve hassas güç aktarımı gereken sistemler için kullanılır. Dişli kayış ile uyumlu kasnak arasındaki pozitif kavrama sayesinde hız oranı korunur, fazlama hassasiyeti sağlanır ve klasik sürtünmeli kayışlarda görülen kayma büyük ölçüde ortadan kalkar.</w:t>
      </w:r>
    </w:p>
    <w:p w:rsidR="00595F44" w:rsidRDefault="00115032">
      <w:pPr>
        <w:rPr>
          <w:rFonts w:hint="eastAsia"/>
        </w:rPr>
      </w:pPr>
      <w:r>
        <w:t>Sonsuz üretim yapısı, ek veya mekanik bağlantı içermez. Tipik yapı; elastomer gövde, düşük uzamalı taşıyıcı kord ve diş yüzeyini aşınmaya karşı koruyan tekstil kaplamadan oluşur. Malzeme ve kord yapısı üreticiye göre değişebileceği için seçim, yalnızca kayış üzerindeki ölçü koduna göre değil; çalışma yükü, devir, kasnak çapı, ortam ve emniyet katsayısı birlikte değerlendirilerek yapılmalıdır.</w:t>
      </w:r>
    </w:p>
    <w:p w:rsidR="00595F44" w:rsidRDefault="00115032">
      <w:pPr>
        <w:pStyle w:val="Balk2"/>
      </w:pPr>
      <w:r>
        <w:t>Başlıca Avantajlar</w:t>
      </w:r>
    </w:p>
    <w:p w:rsidR="00595F44" w:rsidRDefault="00115032">
      <w:pPr>
        <w:pStyle w:val="ListeMaddemi"/>
        <w:rPr>
          <w:rFonts w:hint="eastAsia"/>
        </w:rPr>
      </w:pPr>
      <w:r>
        <w:t>Kaymasız ve sabit hız oranlı senkron güç aktarımı</w:t>
      </w:r>
    </w:p>
    <w:p w:rsidR="00595F44" w:rsidRDefault="00115032">
      <w:pPr>
        <w:pStyle w:val="ListeMaddemi"/>
        <w:rPr>
          <w:rFonts w:hint="eastAsia"/>
        </w:rPr>
      </w:pPr>
      <w:r>
        <w:t>Yağlama gerektirmeyen temiz çalışma</w:t>
      </w:r>
    </w:p>
    <w:p w:rsidR="00595F44" w:rsidRDefault="00115032">
      <w:pPr>
        <w:pStyle w:val="ListeMaddemi"/>
        <w:rPr>
          <w:rFonts w:hint="eastAsia"/>
        </w:rPr>
      </w:pPr>
      <w:r>
        <w:t>Doğru tasarımda yüksek verim ve düşük bakım ihtiyacı</w:t>
      </w:r>
      <w:bookmarkStart w:id="0" w:name="_GoBack"/>
      <w:bookmarkEnd w:id="0"/>
    </w:p>
    <w:p w:rsidR="00595F44" w:rsidRDefault="00115032">
      <w:pPr>
        <w:pStyle w:val="ListeMaddemi"/>
        <w:rPr>
          <w:rFonts w:hint="eastAsia"/>
        </w:rPr>
      </w:pPr>
      <w:r>
        <w:t>Kompakt tahrik düzenlerinde yüksek güç yoğunluğu</w:t>
      </w:r>
    </w:p>
    <w:p w:rsidR="00595F44" w:rsidRDefault="00115032">
      <w:pPr>
        <w:pStyle w:val="ListeMaddemi"/>
        <w:rPr>
          <w:rFonts w:hint="eastAsia"/>
        </w:rPr>
      </w:pPr>
      <w:r>
        <w:t>Hassas zamanlama ve tekrarlanabilir konumlandırma</w:t>
      </w:r>
    </w:p>
    <w:p w:rsidR="00595F44" w:rsidRDefault="00115032">
      <w:pPr>
        <w:pStyle w:val="ListeMaddemi"/>
        <w:rPr>
          <w:rFonts w:hint="eastAsia"/>
        </w:rPr>
      </w:pPr>
      <w:r>
        <w:t>Geniş profil, çevre uzunluğu ve kayış genişliği seçenekleri</w:t>
      </w:r>
    </w:p>
    <w:p w:rsidR="00595F44" w:rsidRDefault="00115032">
      <w:pPr>
        <w:pStyle w:val="Balk2"/>
      </w:pPr>
      <w:r>
        <w:t>Kayış Yapısı</w:t>
      </w:r>
    </w:p>
    <w:tbl>
      <w:tblPr>
        <w:tblW w:w="0" w:type="auto"/>
        <w:jc w:val="center"/>
        <w:tblLayout w:type="fixed"/>
        <w:tblLook w:val="04A0" w:firstRow="1" w:lastRow="0" w:firstColumn="1" w:lastColumn="0" w:noHBand="0" w:noVBand="1"/>
      </w:tblPr>
      <w:tblGrid>
        <w:gridCol w:w="2232"/>
        <w:gridCol w:w="7992"/>
      </w:tblGrid>
      <w:tr w:rsidR="00595F44">
        <w:trPr>
          <w:cantSplit/>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10" w:type="dxa"/>
              <w:bottom w:w="110" w:type="dxa"/>
              <w:right w:w="110" w:type="dxa"/>
            </w:tcMar>
            <w:vAlign w:val="center"/>
          </w:tcPr>
          <w:p w:rsidR="00595F44" w:rsidRDefault="00115032">
            <w:pPr>
              <w:spacing w:after="0" w:line="252" w:lineRule="auto"/>
              <w:jc w:val="center"/>
              <w:rPr>
                <w:rFonts w:hint="eastAsia"/>
              </w:rPr>
            </w:pPr>
            <w:r>
              <w:rPr>
                <w:b/>
                <w:color w:val="FFFFFF"/>
                <w:sz w:val="18"/>
              </w:rPr>
              <w:t>Bileşen</w:t>
            </w:r>
          </w:p>
        </w:tc>
        <w:tc>
          <w:tcPr>
            <w:tcW w:w="7992"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10" w:type="dxa"/>
              <w:bottom w:w="110" w:type="dxa"/>
              <w:right w:w="110" w:type="dxa"/>
            </w:tcMar>
            <w:vAlign w:val="center"/>
          </w:tcPr>
          <w:p w:rsidR="00595F44" w:rsidRDefault="00115032">
            <w:pPr>
              <w:spacing w:after="0" w:line="252" w:lineRule="auto"/>
              <w:jc w:val="center"/>
              <w:rPr>
                <w:rFonts w:hint="eastAsia"/>
              </w:rPr>
            </w:pPr>
            <w:r>
              <w:rPr>
                <w:b/>
                <w:color w:val="FFFFFF"/>
                <w:sz w:val="18"/>
              </w:rPr>
              <w:t>Görevi</w:t>
            </w:r>
          </w:p>
        </w:tc>
      </w:tr>
      <w:tr w:rsidR="00595F44">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Kauçuk gövde</w:t>
            </w:r>
          </w:p>
        </w:tc>
        <w:tc>
          <w:tcPr>
            <w:tcW w:w="7992"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Diş formunu oluşturur, kordları çevresel etkilerden korur ve darbeleri sönümler. Kloropren veya üreticiye özel elastomer bileşikleri kullanılabilir.</w:t>
            </w:r>
          </w:p>
        </w:tc>
      </w:tr>
      <w:tr w:rsidR="00595F44">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Taşıyıcı kord</w:t>
            </w:r>
          </w:p>
        </w:tc>
        <w:tc>
          <w:tcPr>
            <w:tcW w:w="7992"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Çekme yükünü taşır ve kayışın boyutsal kararlılığını sağlar. Cam elyaf yaygındır; özel serilerde farklı kord teknolojileri kullanılabilir.</w:t>
            </w:r>
          </w:p>
        </w:tc>
      </w:tr>
      <w:tr w:rsidR="00595F44">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Diş yüzeyi kaplaması</w:t>
            </w:r>
          </w:p>
        </w:tc>
        <w:tc>
          <w:tcPr>
            <w:tcW w:w="7992"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Kasnakla temas eden yüzeyde sürtünmeyi ve aşınmayı azaltır, düzgün kavramayı destekler.</w:t>
            </w:r>
          </w:p>
        </w:tc>
      </w:tr>
      <w:tr w:rsidR="00595F44">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Sırt yüzeyi</w:t>
            </w:r>
          </w:p>
        </w:tc>
        <w:tc>
          <w:tcPr>
            <w:tcW w:w="7992"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Kayış gövdesini korur; bazı uygulamalarda sırt avara veya yardımcı kasnakla temas edebilir.</w:t>
            </w:r>
          </w:p>
        </w:tc>
      </w:tr>
    </w:tbl>
    <w:p w:rsidR="00595F44" w:rsidRDefault="00595F44">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117E4E" w:rsidRDefault="00117E4E">
      <w:pPr>
        <w:spacing w:after="40"/>
        <w:rPr>
          <w:rFonts w:hint="eastAsia"/>
        </w:rPr>
      </w:pPr>
    </w:p>
    <w:p w:rsidR="00595F44" w:rsidRDefault="00115032">
      <w:pPr>
        <w:pStyle w:val="Balk2"/>
      </w:pPr>
      <w:r>
        <w:lastRenderedPageBreak/>
        <w:t>Klasik Trapez Dişli Profiller</w:t>
      </w:r>
    </w:p>
    <w:p w:rsidR="00595F44" w:rsidRDefault="00115032">
      <w:pPr>
        <w:rPr>
          <w:rFonts w:hint="eastAsia"/>
        </w:rPr>
      </w:pPr>
      <w:r>
        <w:t>MXL, XL, L, H, XH ve XXH profilleri inç esaslı klasik senkron kayış ailesidir. Trapez diş formu, çok geniş bir makine parkında yerleşik standarttır. Yeni yüksek tork tasarımlarında eğrisel profiller çoğu zaman daha avantajlı olsa da mevcut kasnak sistemi klasik profile göre üretilmişse profil değiştirmek yalnızca kayışı değiştirmek anlamına gelmez; kasnakların da yeniden değerlendirilmesi gerekir.</w:t>
      </w:r>
    </w:p>
    <w:tbl>
      <w:tblPr>
        <w:tblStyle w:val="TabloKlavuzu"/>
        <w:tblW w:w="0" w:type="auto"/>
        <w:jc w:val="center"/>
        <w:tblLayout w:type="fixed"/>
        <w:tblLook w:val="04A0" w:firstRow="1" w:lastRow="0" w:firstColumn="1" w:lastColumn="0" w:noHBand="0" w:noVBand="1"/>
      </w:tblPr>
      <w:tblGrid>
        <w:gridCol w:w="1680"/>
        <w:gridCol w:w="1680"/>
        <w:gridCol w:w="1680"/>
        <w:gridCol w:w="1680"/>
        <w:gridCol w:w="1680"/>
        <w:gridCol w:w="1786"/>
        <w:gridCol w:w="1555"/>
      </w:tblGrid>
      <w:tr w:rsidR="00595F44">
        <w:trPr>
          <w:cantSplit/>
          <w:tblHeader/>
          <w:jc w:val="center"/>
        </w:trPr>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Profil</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Hatve p</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Toplam kayış</w:t>
            </w:r>
            <w:r>
              <w:rPr>
                <w:b/>
                <w:color w:val="FFFFFF"/>
                <w:sz w:val="14"/>
              </w:rPr>
              <w:br/>
              <w:t>yüksekliği (mm)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Diş yüksekliği</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diş sayısı</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hatve çapı Dp (mm)</w:t>
            </w:r>
          </w:p>
        </w:tc>
        <w:tc>
          <w:tcPr>
            <w:tcW w:w="1555" w:type="dxa"/>
            <w:shd w:val="clear" w:color="auto" w:fill="173B5E"/>
            <w:vAlign w:val="center"/>
          </w:tcPr>
          <w:p w:rsidR="00595F44" w:rsidRDefault="00115032">
            <w:pPr>
              <w:spacing w:after="0"/>
              <w:jc w:val="center"/>
              <w:rPr>
                <w:rFonts w:hint="eastAsia"/>
              </w:rPr>
            </w:pPr>
            <w:r>
              <w:rPr>
                <w:b/>
                <w:color w:val="FFFFFF"/>
                <w:sz w:val="14"/>
              </w:rPr>
              <w:t>Çalışma</w:t>
            </w:r>
            <w:r>
              <w:rPr>
                <w:b/>
                <w:color w:val="FFFFFF"/>
                <w:sz w:val="14"/>
              </w:rPr>
              <w:br/>
              <w:t>sıcaklığı</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MXL</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2,032</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1,14</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0,51</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10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6,47</w:t>
            </w:r>
          </w:p>
        </w:tc>
        <w:tc>
          <w:tcPr>
            <w:tcW w:w="1555" w:type="dxa"/>
            <w:shd w:val="clear" w:color="auto" w:fill="EAF2F8"/>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XL</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5,080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2,30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1,27</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10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16,17</w:t>
            </w:r>
          </w:p>
        </w:tc>
        <w:tc>
          <w:tcPr>
            <w:tcW w:w="1555" w:type="dxa"/>
            <w:shd w:val="clear" w:color="auto" w:fill="FFFFFF"/>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L</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9,525</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3,60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1,91</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36,38</w:t>
            </w:r>
          </w:p>
        </w:tc>
        <w:tc>
          <w:tcPr>
            <w:tcW w:w="1555" w:type="dxa"/>
            <w:shd w:val="clear" w:color="auto" w:fill="EAF2F8"/>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12,700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4,30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2,29</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56,60</w:t>
            </w:r>
          </w:p>
        </w:tc>
        <w:tc>
          <w:tcPr>
            <w:tcW w:w="1555" w:type="dxa"/>
            <w:shd w:val="clear" w:color="auto" w:fill="FFFFFF"/>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XH</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22,225</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11,20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6,35</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18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127,34</w:t>
            </w:r>
          </w:p>
        </w:tc>
        <w:tc>
          <w:tcPr>
            <w:tcW w:w="1555" w:type="dxa"/>
            <w:shd w:val="clear" w:color="auto" w:fill="EAF2F8"/>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XXH</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31,750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15,70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9,53</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18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181,91</w:t>
            </w:r>
          </w:p>
        </w:tc>
        <w:tc>
          <w:tcPr>
            <w:tcW w:w="1555" w:type="dxa"/>
            <w:shd w:val="clear" w:color="auto" w:fill="FFFFFF"/>
            <w:vAlign w:val="center"/>
          </w:tcPr>
          <w:p w:rsidR="00595F44" w:rsidRDefault="00115032">
            <w:pPr>
              <w:spacing w:after="0"/>
              <w:jc w:val="center"/>
              <w:rPr>
                <w:rFonts w:hint="eastAsia"/>
              </w:rPr>
            </w:pPr>
            <w:r>
              <w:rPr>
                <w:color w:val="1F3246"/>
                <w:sz w:val="15"/>
              </w:rPr>
              <w:t>−25 / +80 °C</w:t>
            </w:r>
          </w:p>
        </w:tc>
      </w:tr>
    </w:tbl>
    <w:p w:rsidR="00595F44" w:rsidRDefault="00595F44">
      <w:pPr>
        <w:spacing w:after="40"/>
        <w:rPr>
          <w:rFonts w:hint="eastAsia"/>
        </w:rPr>
      </w:pPr>
    </w:p>
    <w:p w:rsidR="00595F44" w:rsidRDefault="00115032">
      <w:pPr>
        <w:pStyle w:val="Balk2"/>
      </w:pPr>
      <w:r>
        <w:t>HTD Profilleri</w:t>
      </w:r>
    </w:p>
    <w:p w:rsidR="00595F44" w:rsidRDefault="00115032">
      <w:pPr>
        <w:rPr>
          <w:rFonts w:hint="eastAsia"/>
        </w:rPr>
      </w:pPr>
      <w:r>
        <w:t xml:space="preserve">HTD </w:t>
      </w:r>
      <w:proofErr w:type="spellStart"/>
      <w:r>
        <w:t>profiller</w:t>
      </w:r>
      <w:proofErr w:type="spellEnd"/>
      <w:r>
        <w:t xml:space="preserve">, </w:t>
      </w:r>
      <w:proofErr w:type="spellStart"/>
      <w:r>
        <w:t>klasik</w:t>
      </w:r>
      <w:proofErr w:type="spellEnd"/>
      <w:r>
        <w:t xml:space="preserve"> </w:t>
      </w:r>
      <w:proofErr w:type="spellStart"/>
      <w:r>
        <w:t>trapez</w:t>
      </w:r>
      <w:proofErr w:type="spellEnd"/>
      <w:r>
        <w:t xml:space="preserve"> </w:t>
      </w:r>
      <w:proofErr w:type="spellStart"/>
      <w:r>
        <w:t>dişlere</w:t>
      </w:r>
      <w:proofErr w:type="spellEnd"/>
      <w:r>
        <w:t xml:space="preserve"> göre yükü diş yüzeyine daha dengeli yaymaya yardımcı olan eğrisel diş geometrisine sahiptir. 3M ve 5M daha kompakt tahriklerde; 8M </w:t>
      </w:r>
      <w:proofErr w:type="spellStart"/>
      <w:r>
        <w:t>ve</w:t>
      </w:r>
      <w:proofErr w:type="spellEnd"/>
      <w:r>
        <w:t xml:space="preserve"> 14M </w:t>
      </w:r>
      <w:proofErr w:type="spellStart"/>
      <w:r>
        <w:t>genel</w:t>
      </w:r>
      <w:proofErr w:type="spellEnd"/>
      <w:r>
        <w:t xml:space="preserve"> </w:t>
      </w:r>
      <w:proofErr w:type="spellStart"/>
      <w:r>
        <w:t>ve</w:t>
      </w:r>
      <w:proofErr w:type="spellEnd"/>
      <w:r>
        <w:t xml:space="preserve"> </w:t>
      </w:r>
      <w:proofErr w:type="spellStart"/>
      <w:r>
        <w:t>ağır</w:t>
      </w:r>
      <w:proofErr w:type="spellEnd"/>
      <w:r>
        <w:t xml:space="preserve"> </w:t>
      </w:r>
      <w:proofErr w:type="spellStart"/>
      <w:r>
        <w:t>endüstride</w:t>
      </w:r>
      <w:proofErr w:type="spellEnd"/>
      <w:r>
        <w:t xml:space="preserve">; 20M </w:t>
      </w:r>
      <w:proofErr w:type="spellStart"/>
      <w:r>
        <w:t>ise</w:t>
      </w:r>
      <w:proofErr w:type="spellEnd"/>
      <w:r>
        <w:t xml:space="preserve"> </w:t>
      </w:r>
      <w:proofErr w:type="spellStart"/>
      <w:r>
        <w:t>çok</w:t>
      </w:r>
      <w:proofErr w:type="spellEnd"/>
      <w:r>
        <w:t xml:space="preserve"> </w:t>
      </w:r>
      <w:proofErr w:type="spellStart"/>
      <w:r>
        <w:t>yüksek</w:t>
      </w:r>
      <w:proofErr w:type="spellEnd"/>
      <w:r>
        <w:t xml:space="preserve"> </w:t>
      </w:r>
      <w:proofErr w:type="spellStart"/>
      <w:r>
        <w:t>güç</w:t>
      </w:r>
      <w:proofErr w:type="spellEnd"/>
      <w:r>
        <w:t xml:space="preserve"> </w:t>
      </w:r>
      <w:proofErr w:type="spellStart"/>
      <w:r>
        <w:t>ve</w:t>
      </w:r>
      <w:proofErr w:type="spellEnd"/>
      <w:r>
        <w:t xml:space="preserve"> </w:t>
      </w:r>
      <w:proofErr w:type="spellStart"/>
      <w:r>
        <w:t>büyük</w:t>
      </w:r>
      <w:proofErr w:type="spellEnd"/>
      <w:r>
        <w:t xml:space="preserve"> </w:t>
      </w:r>
      <w:proofErr w:type="spellStart"/>
      <w:r>
        <w:t>kasnaklı</w:t>
      </w:r>
      <w:proofErr w:type="spellEnd"/>
      <w:r>
        <w:t xml:space="preserve"> </w:t>
      </w:r>
      <w:proofErr w:type="spellStart"/>
      <w:r>
        <w:t>özel</w:t>
      </w:r>
      <w:proofErr w:type="spellEnd"/>
      <w:r>
        <w:t xml:space="preserve"> </w:t>
      </w:r>
      <w:proofErr w:type="spellStart"/>
      <w:r>
        <w:t>tahriklerde</w:t>
      </w:r>
      <w:proofErr w:type="spellEnd"/>
      <w:r>
        <w:t xml:space="preserve"> </w:t>
      </w:r>
      <w:proofErr w:type="spellStart"/>
      <w:r>
        <w:t>değerlendirilir</w:t>
      </w:r>
      <w:proofErr w:type="spellEnd"/>
      <w:r>
        <w:t xml:space="preserve">. </w:t>
      </w:r>
    </w:p>
    <w:tbl>
      <w:tblPr>
        <w:tblStyle w:val="TabloKlavuzu"/>
        <w:tblW w:w="0" w:type="auto"/>
        <w:jc w:val="center"/>
        <w:tblLayout w:type="fixed"/>
        <w:tblLook w:val="04A0" w:firstRow="1" w:lastRow="0" w:firstColumn="1" w:lastColumn="0" w:noHBand="0" w:noVBand="1"/>
      </w:tblPr>
      <w:tblGrid>
        <w:gridCol w:w="1680"/>
        <w:gridCol w:w="1680"/>
        <w:gridCol w:w="1680"/>
        <w:gridCol w:w="1680"/>
        <w:gridCol w:w="1680"/>
        <w:gridCol w:w="1786"/>
        <w:gridCol w:w="1555"/>
      </w:tblGrid>
      <w:tr w:rsidR="00595F44">
        <w:trPr>
          <w:cantSplit/>
          <w:tblHeader/>
          <w:jc w:val="center"/>
        </w:trPr>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proofErr w:type="spellStart"/>
            <w:r>
              <w:rPr>
                <w:b/>
                <w:color w:val="FFFFFF"/>
                <w:sz w:val="14"/>
              </w:rPr>
              <w:t>Profil</w:t>
            </w:r>
            <w:proofErr w:type="spellEnd"/>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Hatve p</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Toplam kayış</w:t>
            </w:r>
            <w:r>
              <w:rPr>
                <w:b/>
                <w:color w:val="FFFFFF"/>
                <w:sz w:val="14"/>
              </w:rPr>
              <w:br/>
              <w:t>yüksekliği (mm)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Diş yüksekliği</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diş sayısı</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hatve çapı Dp (mm)</w:t>
            </w:r>
          </w:p>
        </w:tc>
        <w:tc>
          <w:tcPr>
            <w:tcW w:w="1555" w:type="dxa"/>
            <w:shd w:val="clear" w:color="auto" w:fill="173B5E"/>
            <w:vAlign w:val="center"/>
          </w:tcPr>
          <w:p w:rsidR="00595F44" w:rsidRDefault="00115032">
            <w:pPr>
              <w:spacing w:after="0"/>
              <w:jc w:val="center"/>
              <w:rPr>
                <w:rFonts w:hint="eastAsia"/>
              </w:rPr>
            </w:pPr>
            <w:r>
              <w:rPr>
                <w:b/>
                <w:color w:val="FFFFFF"/>
                <w:sz w:val="14"/>
              </w:rPr>
              <w:t>Çalışma</w:t>
            </w:r>
            <w:r>
              <w:rPr>
                <w:b/>
                <w:color w:val="FFFFFF"/>
                <w:sz w:val="14"/>
              </w:rPr>
              <w:br/>
              <w:t>sıcaklığı</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HTD 3M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2,40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1,17</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11,46</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HTD 5M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3,80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2,06</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22,28</w:t>
            </w:r>
          </w:p>
        </w:tc>
        <w:tc>
          <w:tcPr>
            <w:tcW w:w="1555" w:type="dxa"/>
            <w:shd w:val="clear" w:color="auto" w:fill="FFFFFF"/>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HTD 8M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8,000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6,00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3,38</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56,02</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HTD 14M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10,00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6,02</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28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124,78</w:t>
            </w:r>
          </w:p>
        </w:tc>
        <w:tc>
          <w:tcPr>
            <w:tcW w:w="1555" w:type="dxa"/>
            <w:shd w:val="clear" w:color="auto" w:fill="FFFFFF"/>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HTD 20M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20,000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13,20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8,40</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34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216,45</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bl>
    <w:p w:rsidR="00595F44" w:rsidRDefault="00595F44">
      <w:pPr>
        <w:spacing w:after="40"/>
        <w:rPr>
          <w:rFonts w:hint="eastAsia"/>
        </w:rPr>
      </w:pPr>
    </w:p>
    <w:p w:rsidR="00595F44" w:rsidRDefault="00115032">
      <w:pPr>
        <w:pStyle w:val="Balk2"/>
      </w:pPr>
      <w:r>
        <w:t>STD Profilleri</w:t>
      </w:r>
    </w:p>
    <w:p w:rsidR="00595F44" w:rsidRDefault="00115032">
      <w:pPr>
        <w:rPr>
          <w:rFonts w:hint="eastAsia"/>
        </w:rPr>
      </w:pPr>
      <w:r>
        <w:t>STD, Super Torque Drive ailesini ifade eden ticari bir adlandırmadır. Ürün kodlarında çoğunlukla S2M, S3M, S5M, S8M ve S14M gösterimi kullanılır. Aynı milimetre hatvesine sahip HTD kayışlarla karıştırılmamalıdır; diş şekli ve kasnak geometrisi üretici standardına göre kontrol edilmelidir.</w:t>
      </w:r>
    </w:p>
    <w:tbl>
      <w:tblPr>
        <w:tblStyle w:val="TabloKlavuzu"/>
        <w:tblW w:w="0" w:type="auto"/>
        <w:jc w:val="center"/>
        <w:tblLayout w:type="fixed"/>
        <w:tblLook w:val="04A0" w:firstRow="1" w:lastRow="0" w:firstColumn="1" w:lastColumn="0" w:noHBand="0" w:noVBand="1"/>
      </w:tblPr>
      <w:tblGrid>
        <w:gridCol w:w="1680"/>
        <w:gridCol w:w="1680"/>
        <w:gridCol w:w="1680"/>
        <w:gridCol w:w="1680"/>
        <w:gridCol w:w="1680"/>
        <w:gridCol w:w="1786"/>
        <w:gridCol w:w="1555"/>
      </w:tblGrid>
      <w:tr w:rsidR="00595F44">
        <w:trPr>
          <w:cantSplit/>
          <w:tblHeader/>
          <w:jc w:val="center"/>
        </w:trPr>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Profil</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Hatve p</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Toplam kayış</w:t>
            </w:r>
            <w:r>
              <w:rPr>
                <w:b/>
                <w:color w:val="FFFFFF"/>
                <w:sz w:val="14"/>
              </w:rPr>
              <w:br/>
              <w:t>yüksekliği (mm)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Diş yüksekliği</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diş sayısı</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hatve çapı Dp (mm)</w:t>
            </w:r>
          </w:p>
        </w:tc>
        <w:tc>
          <w:tcPr>
            <w:tcW w:w="1555" w:type="dxa"/>
            <w:shd w:val="clear" w:color="auto" w:fill="173B5E"/>
            <w:vAlign w:val="center"/>
          </w:tcPr>
          <w:p w:rsidR="00595F44" w:rsidRDefault="00115032">
            <w:pPr>
              <w:spacing w:after="0"/>
              <w:jc w:val="center"/>
              <w:rPr>
                <w:rFonts w:hint="eastAsia"/>
              </w:rPr>
            </w:pPr>
            <w:r>
              <w:rPr>
                <w:b/>
                <w:color w:val="FFFFFF"/>
                <w:sz w:val="14"/>
              </w:rPr>
              <w:t>Çalışma</w:t>
            </w:r>
            <w:r>
              <w:rPr>
                <w:b/>
                <w:color w:val="FFFFFF"/>
                <w:sz w:val="14"/>
              </w:rPr>
              <w:br/>
              <w:t>sıcaklığı</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S2M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1,36</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0,76</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7,64</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S3M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1,90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1,14</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13,37</w:t>
            </w:r>
          </w:p>
        </w:tc>
        <w:tc>
          <w:tcPr>
            <w:tcW w:w="1555" w:type="dxa"/>
            <w:shd w:val="clear" w:color="auto" w:fill="FFFFFF"/>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S5M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3,40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1,91</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18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28,65</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S8M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8,000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5,30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3,05</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56,02</w:t>
            </w:r>
          </w:p>
        </w:tc>
        <w:tc>
          <w:tcPr>
            <w:tcW w:w="1555" w:type="dxa"/>
            <w:shd w:val="clear" w:color="auto" w:fill="FFFFFF"/>
            <w:vAlign w:val="center"/>
          </w:tcPr>
          <w:p w:rsidR="00595F44" w:rsidRDefault="00115032">
            <w:pPr>
              <w:spacing w:after="0"/>
              <w:jc w:val="center"/>
              <w:rPr>
                <w:rFonts w:hint="eastAsia"/>
              </w:rPr>
            </w:pPr>
            <w:r>
              <w:rPr>
                <w:color w:val="1F3246"/>
                <w:sz w:val="15"/>
              </w:rPr>
              <w:t>Tipik −25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S14M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10,20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5,30</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28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124,78</w:t>
            </w:r>
          </w:p>
        </w:tc>
        <w:tc>
          <w:tcPr>
            <w:tcW w:w="1555" w:type="dxa"/>
            <w:shd w:val="clear" w:color="auto" w:fill="EAF2F8"/>
            <w:vAlign w:val="center"/>
          </w:tcPr>
          <w:p w:rsidR="00595F44" w:rsidRDefault="00115032">
            <w:pPr>
              <w:spacing w:after="0"/>
              <w:jc w:val="center"/>
              <w:rPr>
                <w:rFonts w:hint="eastAsia"/>
              </w:rPr>
            </w:pPr>
            <w:r>
              <w:rPr>
                <w:color w:val="1F3246"/>
                <w:sz w:val="15"/>
              </w:rPr>
              <w:t>Tipik −25 / +80 °C*</w:t>
            </w:r>
          </w:p>
        </w:tc>
      </w:tr>
    </w:tbl>
    <w:p w:rsidR="00595F44" w:rsidRDefault="00595F44">
      <w:pPr>
        <w:spacing w:after="40"/>
        <w:rPr>
          <w:rFonts w:hint="eastAsia"/>
        </w:rPr>
      </w:pPr>
    </w:p>
    <w:p w:rsidR="00595F44" w:rsidRDefault="00115032">
      <w:pPr>
        <w:pStyle w:val="Balk2"/>
      </w:pPr>
      <w:r>
        <w:lastRenderedPageBreak/>
        <w:t>RPP Profilleri</w:t>
      </w:r>
    </w:p>
    <w:p w:rsidR="00595F44" w:rsidRDefault="00115032">
      <w:pPr>
        <w:rPr>
          <w:rFonts w:hint="eastAsia"/>
        </w:rPr>
      </w:pPr>
      <w:r>
        <w:t>RPP profili, diş kökünden tepeye doğru ilerleyen parabolik geometri ve diş tepesindeki oluk ile daha yumuşak kavramay</w:t>
      </w:r>
      <w:r w:rsidR="00225B5B">
        <w:t xml:space="preserve">ı hedefler. RPP </w:t>
      </w:r>
      <w:proofErr w:type="spellStart"/>
      <w:r w:rsidR="00225B5B">
        <w:t>diş</w:t>
      </w:r>
      <w:proofErr w:type="spellEnd"/>
      <w:r w:rsidR="00225B5B">
        <w:t xml:space="preserve"> </w:t>
      </w:r>
      <w:proofErr w:type="spellStart"/>
      <w:r w:rsidR="00225B5B">
        <w:t>profili</w:t>
      </w:r>
      <w:proofErr w:type="spellEnd"/>
      <w:r w:rsidR="00225B5B">
        <w:t xml:space="preserve"> </w:t>
      </w:r>
      <w:proofErr w:type="spellStart"/>
      <w:r w:rsidR="00225B5B">
        <w:t>kavramayı</w:t>
      </w:r>
      <w:proofErr w:type="spellEnd"/>
      <w:r w:rsidR="00225B5B">
        <w:t xml:space="preserve"> </w:t>
      </w:r>
      <w:proofErr w:type="spellStart"/>
      <w:r w:rsidR="00225B5B">
        <w:t>iyileştirir</w:t>
      </w:r>
      <w:proofErr w:type="spellEnd"/>
      <w:r w:rsidR="00225B5B">
        <w:t xml:space="preserve">, </w:t>
      </w:r>
      <w:proofErr w:type="spellStart"/>
      <w:r w:rsidR="00225B5B">
        <w:t>aşınmayı</w:t>
      </w:r>
      <w:proofErr w:type="spellEnd"/>
      <w:r w:rsidR="00225B5B">
        <w:t xml:space="preserve"> </w:t>
      </w:r>
      <w:proofErr w:type="spellStart"/>
      <w:r w:rsidR="00225B5B">
        <w:t>azaltır</w:t>
      </w:r>
      <w:proofErr w:type="spellEnd"/>
      <w:r>
        <w:t xml:space="preserve"> </w:t>
      </w:r>
      <w:proofErr w:type="spellStart"/>
      <w:r>
        <w:t>ve</w:t>
      </w:r>
      <w:proofErr w:type="spellEnd"/>
      <w:r>
        <w:t xml:space="preserve"> </w:t>
      </w:r>
      <w:proofErr w:type="spellStart"/>
      <w:r>
        <w:t>diş</w:t>
      </w:r>
      <w:proofErr w:type="spellEnd"/>
      <w:r>
        <w:t xml:space="preserve"> </w:t>
      </w:r>
      <w:proofErr w:type="spellStart"/>
      <w:r>
        <w:t>atlama</w:t>
      </w:r>
      <w:proofErr w:type="spellEnd"/>
      <w:r>
        <w:t xml:space="preserve"> </w:t>
      </w:r>
      <w:proofErr w:type="spellStart"/>
      <w:r>
        <w:t>ile</w:t>
      </w:r>
      <w:proofErr w:type="spellEnd"/>
      <w:r>
        <w:t xml:space="preserve"> </w:t>
      </w:r>
      <w:proofErr w:type="spellStart"/>
      <w:r>
        <w:t>diş</w:t>
      </w:r>
      <w:proofErr w:type="spellEnd"/>
      <w:r>
        <w:t xml:space="preserve"> </w:t>
      </w:r>
      <w:proofErr w:type="spellStart"/>
      <w:r>
        <w:t>kesilmesine</w:t>
      </w:r>
      <w:proofErr w:type="spellEnd"/>
      <w:r>
        <w:t xml:space="preserve"> </w:t>
      </w:r>
      <w:proofErr w:type="spellStart"/>
      <w:r>
        <w:t>karşı</w:t>
      </w:r>
      <w:proofErr w:type="spellEnd"/>
      <w:r>
        <w:t xml:space="preserve"> </w:t>
      </w:r>
      <w:proofErr w:type="spellStart"/>
      <w:r w:rsidR="00225B5B">
        <w:t>direnci</w:t>
      </w:r>
      <w:proofErr w:type="spellEnd"/>
      <w:r w:rsidR="00225B5B">
        <w:t xml:space="preserve"> </w:t>
      </w:r>
      <w:proofErr w:type="spellStart"/>
      <w:r w:rsidR="00225B5B">
        <w:t>geliştirir</w:t>
      </w:r>
      <w:proofErr w:type="spellEnd"/>
      <w:r w:rsidR="00225B5B">
        <w:t>.</w:t>
      </w:r>
      <w:r>
        <w:t xml:space="preserve"> </w:t>
      </w:r>
    </w:p>
    <w:tbl>
      <w:tblPr>
        <w:tblStyle w:val="TabloKlavuzu"/>
        <w:tblW w:w="0" w:type="auto"/>
        <w:jc w:val="center"/>
        <w:tblLayout w:type="fixed"/>
        <w:tblLook w:val="04A0" w:firstRow="1" w:lastRow="0" w:firstColumn="1" w:lastColumn="0" w:noHBand="0" w:noVBand="1"/>
      </w:tblPr>
      <w:tblGrid>
        <w:gridCol w:w="1680"/>
        <w:gridCol w:w="1680"/>
        <w:gridCol w:w="1680"/>
        <w:gridCol w:w="1680"/>
        <w:gridCol w:w="1680"/>
        <w:gridCol w:w="1786"/>
        <w:gridCol w:w="1555"/>
      </w:tblGrid>
      <w:tr w:rsidR="00595F44">
        <w:trPr>
          <w:cantSplit/>
          <w:tblHeader/>
          <w:jc w:val="center"/>
        </w:trPr>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Profil</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Hatve p</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Toplam kayış</w:t>
            </w:r>
            <w:r>
              <w:rPr>
                <w:b/>
                <w:color w:val="FFFFFF"/>
                <w:sz w:val="14"/>
              </w:rPr>
              <w:br/>
              <w:t>yüksekliği (mm)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Diş yüksekliği</w:t>
            </w:r>
            <w:r>
              <w:rPr>
                <w:b/>
                <w:color w:val="FFFFFF"/>
                <w:sz w:val="14"/>
              </w:rPr>
              <w:br/>
              <w:t>(mm)</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diş sayısı</w:t>
            </w:r>
          </w:p>
        </w:tc>
        <w:tc>
          <w:tcPr>
            <w:tcW w:w="1680" w:type="dxa"/>
            <w:shd w:val="clear" w:color="auto" w:fill="173B5E"/>
            <w:tcMar>
              <w:top w:w="70" w:type="dxa"/>
              <w:left w:w="75" w:type="dxa"/>
              <w:bottom w:w="70" w:type="dxa"/>
              <w:right w:w="75" w:type="dxa"/>
            </w:tcMar>
            <w:vAlign w:val="center"/>
          </w:tcPr>
          <w:p w:rsidR="00595F44" w:rsidRDefault="00115032">
            <w:pPr>
              <w:spacing w:after="0"/>
              <w:jc w:val="center"/>
              <w:rPr>
                <w:rFonts w:hint="eastAsia"/>
              </w:rPr>
            </w:pPr>
            <w:r>
              <w:rPr>
                <w:b/>
                <w:color w:val="FFFFFF"/>
                <w:sz w:val="14"/>
              </w:rPr>
              <w:t>Minimum kasnak</w:t>
            </w:r>
            <w:r>
              <w:rPr>
                <w:b/>
                <w:color w:val="FFFFFF"/>
                <w:sz w:val="14"/>
              </w:rPr>
              <w:br/>
              <w:t>hatve çapı Dp (mm)</w:t>
            </w:r>
          </w:p>
        </w:tc>
        <w:tc>
          <w:tcPr>
            <w:tcW w:w="1555" w:type="dxa"/>
            <w:shd w:val="clear" w:color="auto" w:fill="173B5E"/>
            <w:vAlign w:val="center"/>
          </w:tcPr>
          <w:p w:rsidR="00595F44" w:rsidRDefault="00115032">
            <w:pPr>
              <w:spacing w:after="0"/>
              <w:jc w:val="center"/>
              <w:rPr>
                <w:rFonts w:hint="eastAsia"/>
              </w:rPr>
            </w:pPr>
            <w:r>
              <w:rPr>
                <w:b/>
                <w:color w:val="FFFFFF"/>
                <w:sz w:val="14"/>
              </w:rPr>
              <w:t>Çalışma</w:t>
            </w:r>
            <w:r>
              <w:rPr>
                <w:b/>
                <w:color w:val="FFFFFF"/>
                <w:sz w:val="14"/>
              </w:rPr>
              <w:br/>
              <w:t>sıcaklığı</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RPP 3M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2,40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1,15</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11,46</w:t>
            </w:r>
          </w:p>
        </w:tc>
        <w:tc>
          <w:tcPr>
            <w:tcW w:w="1555" w:type="dxa"/>
            <w:shd w:val="clear" w:color="auto" w:fill="EAF2F8"/>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RPP 5M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3,80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2,00</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22,28</w:t>
            </w:r>
          </w:p>
        </w:tc>
        <w:tc>
          <w:tcPr>
            <w:tcW w:w="1555" w:type="dxa"/>
            <w:shd w:val="clear" w:color="auto" w:fill="FFFFFF"/>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RPP 8M</w:t>
            </w:r>
          </w:p>
        </w:tc>
        <w:tc>
          <w:tcPr>
            <w:tcW w:w="82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8,000</w:t>
            </w:r>
          </w:p>
        </w:tc>
        <w:tc>
          <w:tcPr>
            <w:tcW w:w="1354"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5,40</w:t>
            </w:r>
          </w:p>
        </w:tc>
        <w:tc>
          <w:tcPr>
            <w:tcW w:w="1181"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3,20</w:t>
            </w:r>
          </w:p>
        </w:tc>
        <w:tc>
          <w:tcPr>
            <w:tcW w:w="1267"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22 diş</w:t>
            </w:r>
          </w:p>
        </w:tc>
        <w:tc>
          <w:tcPr>
            <w:tcW w:w="1786" w:type="dxa"/>
            <w:shd w:val="clear" w:color="auto" w:fill="EAF2F8"/>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56,02</w:t>
            </w:r>
          </w:p>
        </w:tc>
        <w:tc>
          <w:tcPr>
            <w:tcW w:w="1555" w:type="dxa"/>
            <w:shd w:val="clear" w:color="auto" w:fill="EAF2F8"/>
            <w:vAlign w:val="center"/>
          </w:tcPr>
          <w:p w:rsidR="00595F44" w:rsidRDefault="00115032">
            <w:pPr>
              <w:spacing w:after="0"/>
              <w:jc w:val="center"/>
              <w:rPr>
                <w:rFonts w:hint="eastAsia"/>
              </w:rPr>
            </w:pPr>
            <w:r>
              <w:rPr>
                <w:color w:val="1F3246"/>
                <w:sz w:val="15"/>
              </w:rPr>
              <w:t>−25 / +80 °C</w:t>
            </w:r>
          </w:p>
        </w:tc>
      </w:tr>
      <w:tr w:rsidR="00595F44">
        <w:trPr>
          <w:cantSplit/>
          <w:jc w:val="center"/>
        </w:trPr>
        <w:tc>
          <w:tcPr>
            <w:tcW w:w="965"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RPP 14M</w:t>
            </w:r>
          </w:p>
        </w:tc>
        <w:tc>
          <w:tcPr>
            <w:tcW w:w="82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14,000</w:t>
            </w:r>
          </w:p>
        </w:tc>
        <w:tc>
          <w:tcPr>
            <w:tcW w:w="1354"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10,00</w:t>
            </w:r>
          </w:p>
        </w:tc>
        <w:tc>
          <w:tcPr>
            <w:tcW w:w="1181"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6,00</w:t>
            </w:r>
          </w:p>
        </w:tc>
        <w:tc>
          <w:tcPr>
            <w:tcW w:w="1267"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28 diş</w:t>
            </w:r>
          </w:p>
        </w:tc>
        <w:tc>
          <w:tcPr>
            <w:tcW w:w="1786" w:type="dxa"/>
            <w:shd w:val="clear" w:color="auto" w:fill="FFFFFF"/>
            <w:tcMar>
              <w:top w:w="70" w:type="dxa"/>
              <w:left w:w="75" w:type="dxa"/>
              <w:bottom w:w="70" w:type="dxa"/>
              <w:right w:w="75" w:type="dxa"/>
            </w:tcMar>
            <w:vAlign w:val="center"/>
          </w:tcPr>
          <w:p w:rsidR="00595F44" w:rsidRDefault="00115032">
            <w:pPr>
              <w:spacing w:after="0"/>
              <w:jc w:val="center"/>
              <w:rPr>
                <w:rFonts w:hint="eastAsia"/>
              </w:rPr>
            </w:pPr>
            <w:r>
              <w:rPr>
                <w:color w:val="1F3246"/>
                <w:sz w:val="15"/>
              </w:rPr>
              <w:t>124,78</w:t>
            </w:r>
          </w:p>
        </w:tc>
        <w:tc>
          <w:tcPr>
            <w:tcW w:w="1555" w:type="dxa"/>
            <w:shd w:val="clear" w:color="auto" w:fill="FFFFFF"/>
            <w:vAlign w:val="center"/>
          </w:tcPr>
          <w:p w:rsidR="00595F44" w:rsidRDefault="00115032">
            <w:pPr>
              <w:spacing w:after="0"/>
              <w:jc w:val="center"/>
              <w:rPr>
                <w:rFonts w:hint="eastAsia"/>
              </w:rPr>
            </w:pPr>
            <w:r>
              <w:rPr>
                <w:color w:val="1F3246"/>
                <w:sz w:val="15"/>
              </w:rPr>
              <w:t>−25 / +80 °C</w:t>
            </w:r>
          </w:p>
        </w:tc>
      </w:tr>
    </w:tbl>
    <w:p w:rsidR="00595F44" w:rsidRDefault="00595F44">
      <w:pPr>
        <w:spacing w:after="40"/>
        <w:rPr>
          <w:rFonts w:hint="eastAsia"/>
          <w:i/>
          <w:color w:val="414D59"/>
          <w:sz w:val="17"/>
        </w:rPr>
      </w:pPr>
    </w:p>
    <w:p w:rsidR="00117E4E" w:rsidRDefault="00117E4E">
      <w:pPr>
        <w:spacing w:after="40"/>
        <w:rPr>
          <w:rFonts w:hint="eastAsia"/>
        </w:rPr>
      </w:pPr>
    </w:p>
    <w:p w:rsidR="00595F44" w:rsidRDefault="00115032">
      <w:pPr>
        <w:pStyle w:val="Balk1"/>
      </w:pPr>
      <w:proofErr w:type="spellStart"/>
      <w:r>
        <w:t>Doğru</w:t>
      </w:r>
      <w:proofErr w:type="spellEnd"/>
      <w:r>
        <w:t xml:space="preserve"> Kayış </w:t>
      </w:r>
      <w:proofErr w:type="spellStart"/>
      <w:r>
        <w:t>Seçimi</w:t>
      </w:r>
      <w:proofErr w:type="spellEnd"/>
    </w:p>
    <w:p w:rsidR="00595F44" w:rsidRDefault="00115032">
      <w:pPr>
        <w:rPr>
          <w:rFonts w:hint="eastAsia"/>
        </w:rPr>
      </w:pPr>
      <w:r>
        <w:t>Katalogdaki aynı hatve veya çevre uzunluğu, iki kayışın otomatik olarak birbirinin yerine geçeceği anlamına gelmez. ProBelt teknik ekibi seçim öncesinde aşağıdaki verileri birlikte değerlendirmelidir:</w:t>
      </w:r>
    </w:p>
    <w:p w:rsidR="00595F44" w:rsidRDefault="00115032">
      <w:pPr>
        <w:pStyle w:val="ListeMaddemi"/>
        <w:rPr>
          <w:rFonts w:hint="eastAsia"/>
        </w:rPr>
      </w:pPr>
      <w:r>
        <w:t>Motor gücü ve çalışma devri</w:t>
      </w:r>
    </w:p>
    <w:p w:rsidR="00595F44" w:rsidRDefault="00115032">
      <w:pPr>
        <w:pStyle w:val="ListeMaddemi"/>
        <w:rPr>
          <w:rFonts w:hint="eastAsia"/>
        </w:rPr>
      </w:pPr>
      <w:r>
        <w:t>Tahrik edilen mil devri ve istenen çevrim oranı</w:t>
      </w:r>
    </w:p>
    <w:p w:rsidR="00595F44" w:rsidRDefault="00115032">
      <w:pPr>
        <w:pStyle w:val="ListeMaddemi"/>
        <w:rPr>
          <w:rFonts w:hint="eastAsia"/>
        </w:rPr>
      </w:pPr>
      <w:r>
        <w:t>Çalışma süresi, kalkış sıklığı ve darbe yükleri</w:t>
      </w:r>
    </w:p>
    <w:p w:rsidR="00595F44" w:rsidRDefault="00115032">
      <w:pPr>
        <w:pStyle w:val="ListeMaddemi"/>
        <w:rPr>
          <w:rFonts w:hint="eastAsia"/>
        </w:rPr>
      </w:pPr>
      <w:r>
        <w:t>Küçük ve büyük kasnak diş sayıları ile merkez mesafesi</w:t>
      </w:r>
    </w:p>
    <w:p w:rsidR="00595F44" w:rsidRDefault="00115032">
      <w:pPr>
        <w:pStyle w:val="ListeMaddemi"/>
        <w:rPr>
          <w:rFonts w:hint="eastAsia"/>
        </w:rPr>
      </w:pPr>
      <w:r>
        <w:t>Kayış profili, hatvesi, çevre uzunluğu ve genişliği</w:t>
      </w:r>
    </w:p>
    <w:p w:rsidR="00595F44" w:rsidRDefault="00115032">
      <w:pPr>
        <w:pStyle w:val="ListeMaddemi"/>
        <w:rPr>
          <w:rFonts w:hint="eastAsia"/>
        </w:rPr>
      </w:pPr>
      <w:r>
        <w:t>Ortam sıcaklığı, yağ, nem, toz, ozon ve kimyasal maruziyet</w:t>
      </w:r>
    </w:p>
    <w:p w:rsidR="00595F44" w:rsidRDefault="00115032">
      <w:pPr>
        <w:pStyle w:val="ListeMaddemi"/>
        <w:rPr>
          <w:rFonts w:hint="eastAsia"/>
        </w:rPr>
      </w:pPr>
      <w:r>
        <w:t>Ters bükülme, sırt avara kullanımı ve hizalama koşulları</w:t>
      </w:r>
    </w:p>
    <w:p w:rsidR="00595F44" w:rsidRDefault="00115032">
      <w:pPr>
        <w:pStyle w:val="ListeMaddemi"/>
        <w:rPr>
          <w:rFonts w:hint="eastAsia"/>
        </w:rPr>
      </w:pPr>
      <w:r>
        <w:t>Gıda, antistatik veya alev geciktirme gibi özel gereklilikler</w:t>
      </w:r>
    </w:p>
    <w:p w:rsidR="00595F44" w:rsidRDefault="00115032">
      <w:pPr>
        <w:pStyle w:val="Balk2"/>
      </w:pPr>
      <w:r>
        <w:t>Kayış Kodunu Okuma</w:t>
      </w:r>
    </w:p>
    <w:p w:rsidR="00595F44" w:rsidRDefault="00115032">
      <w:pPr>
        <w:rPr>
          <w:rFonts w:hint="eastAsia"/>
        </w:rPr>
      </w:pPr>
      <w:r>
        <w:t>Örnek gösterim: 1200 8M 30. Burada 1200 kayışın hatve boyunu milimetre olarak, 8M diş hatvesini, 30 ise kayış genişliğini milimetre olarak ifade eder. Klasik inç profillerde kodlama üreticiye göre farklı biçimde yazılabilir. Sipariş sırasında kayış üzerindeki tam baskı, profil fotoğrafı, genişlik ve mümkünse diş sayısı birlikte paylaşılmalıdır.</w:t>
      </w:r>
    </w:p>
    <w:p w:rsidR="00595F44" w:rsidRDefault="00115032">
      <w:pPr>
        <w:pStyle w:val="Balk1"/>
      </w:pPr>
      <w:r>
        <w:t>Montaj ve İşletme İlkeleri</w:t>
      </w:r>
    </w:p>
    <w:p w:rsidR="00595F44" w:rsidRDefault="00115032">
      <w:pPr>
        <w:pStyle w:val="ListeMaddemi"/>
        <w:rPr>
          <w:rFonts w:hint="eastAsia"/>
        </w:rPr>
      </w:pPr>
      <w:r>
        <w:t>Kayışı kasnağa zorlayarak veya tornavida ile geçirerek kordlara zarar vermeyin.</w:t>
      </w:r>
    </w:p>
    <w:p w:rsidR="00595F44" w:rsidRDefault="00115032">
      <w:pPr>
        <w:pStyle w:val="ListeMaddemi"/>
        <w:rPr>
          <w:rFonts w:hint="eastAsia"/>
        </w:rPr>
      </w:pPr>
      <w:r>
        <w:t>Kasnakların aynı düzlemde ve millerin paralel olduğunu kontrol edin.</w:t>
      </w:r>
    </w:p>
    <w:p w:rsidR="00595F44" w:rsidRDefault="00115032">
      <w:pPr>
        <w:pStyle w:val="ListeMaddemi"/>
        <w:rPr>
          <w:rFonts w:hint="eastAsia"/>
        </w:rPr>
      </w:pPr>
      <w:r>
        <w:t>Aşırı gerginlik rulman yükünü ve kayış sıcaklığını artırır; düşük gerginlik diş atlamasına neden olabilir.</w:t>
      </w:r>
    </w:p>
    <w:p w:rsidR="00595F44" w:rsidRDefault="00115032">
      <w:pPr>
        <w:pStyle w:val="ListeMaddemi"/>
        <w:rPr>
          <w:rFonts w:hint="eastAsia"/>
        </w:rPr>
      </w:pPr>
      <w:r>
        <w:t>Kasnak kanallarında çapak, aşınma, kir veya yabancı madde bulunmamalıdır.</w:t>
      </w:r>
    </w:p>
    <w:p w:rsidR="00595F44" w:rsidRDefault="00115032">
      <w:pPr>
        <w:pStyle w:val="ListeMaddemi"/>
        <w:rPr>
          <w:rFonts w:hint="eastAsia"/>
        </w:rPr>
      </w:pPr>
      <w:r>
        <w:t>Yeni kayış eski ve aşınmış kasnaklarla kullanıldığında beklenen ömre ulaşmayabilir.</w:t>
      </w:r>
    </w:p>
    <w:p w:rsidR="00595F44" w:rsidRDefault="00115032">
      <w:pPr>
        <w:pStyle w:val="ListeMaddemi"/>
        <w:rPr>
          <w:rFonts w:hint="eastAsia"/>
        </w:rPr>
      </w:pPr>
      <w:r>
        <w:t>Takım halinde çalışan kayışlar birlikte değiştirilmelidir.</w:t>
      </w:r>
    </w:p>
    <w:p w:rsidR="00595F44" w:rsidRDefault="00115032">
      <w:pPr>
        <w:pStyle w:val="ListeMaddemi"/>
        <w:rPr>
          <w:rFonts w:hint="eastAsia"/>
        </w:rPr>
      </w:pPr>
      <w:r>
        <w:t xml:space="preserve">Kesin montaj gerginliği </w:t>
      </w:r>
      <w:proofErr w:type="spellStart"/>
      <w:r>
        <w:t>ve</w:t>
      </w:r>
      <w:proofErr w:type="spellEnd"/>
      <w:r>
        <w:t xml:space="preserve"> minimum </w:t>
      </w:r>
      <w:proofErr w:type="spellStart"/>
      <w:r>
        <w:t>kasnak</w:t>
      </w:r>
      <w:proofErr w:type="spellEnd"/>
      <w:r>
        <w:t xml:space="preserve"> </w:t>
      </w:r>
      <w:proofErr w:type="spellStart"/>
      <w:r>
        <w:t>çapı</w:t>
      </w:r>
      <w:proofErr w:type="spellEnd"/>
      <w:r>
        <w:t xml:space="preserve"> </w:t>
      </w:r>
      <w:proofErr w:type="spellStart"/>
      <w:r>
        <w:t>için</w:t>
      </w:r>
      <w:proofErr w:type="spellEnd"/>
      <w:r>
        <w:t xml:space="preserve"> </w:t>
      </w:r>
      <w:proofErr w:type="spellStart"/>
      <w:r>
        <w:t>seçilen</w:t>
      </w:r>
      <w:proofErr w:type="spellEnd"/>
      <w:r>
        <w:t xml:space="preserve"> </w:t>
      </w:r>
      <w:proofErr w:type="spellStart"/>
      <w:r>
        <w:t>markanın</w:t>
      </w:r>
      <w:proofErr w:type="spellEnd"/>
      <w:r>
        <w:t xml:space="preserve"> </w:t>
      </w:r>
      <w:proofErr w:type="spellStart"/>
      <w:r>
        <w:t>teknik</w:t>
      </w:r>
      <w:proofErr w:type="spellEnd"/>
      <w:r>
        <w:t xml:space="preserve"> </w:t>
      </w:r>
      <w:proofErr w:type="spellStart"/>
      <w:r>
        <w:t>tablosu</w:t>
      </w:r>
      <w:proofErr w:type="spellEnd"/>
      <w:r>
        <w:t xml:space="preserve"> </w:t>
      </w:r>
      <w:proofErr w:type="spellStart"/>
      <w:r>
        <w:t>kullanılmalıdır</w:t>
      </w:r>
      <w:proofErr w:type="spellEnd"/>
      <w:r>
        <w:t>.</w:t>
      </w:r>
    </w:p>
    <w:p w:rsidR="00117E4E" w:rsidRDefault="00117E4E" w:rsidP="00117E4E">
      <w:pPr>
        <w:pStyle w:val="ListeMaddemi"/>
        <w:numPr>
          <w:ilvl w:val="0"/>
          <w:numId w:val="0"/>
        </w:numPr>
        <w:ind w:left="360" w:hanging="360"/>
        <w:rPr>
          <w:rFonts w:hint="eastAsia"/>
        </w:rPr>
      </w:pPr>
    </w:p>
    <w:p w:rsidR="00117E4E" w:rsidRDefault="00117E4E" w:rsidP="00117E4E">
      <w:pPr>
        <w:pStyle w:val="ListeMaddemi"/>
        <w:numPr>
          <w:ilvl w:val="0"/>
          <w:numId w:val="0"/>
        </w:numPr>
        <w:ind w:left="360" w:hanging="360"/>
        <w:rPr>
          <w:rFonts w:hint="eastAsia"/>
        </w:rPr>
      </w:pPr>
    </w:p>
    <w:p w:rsidR="00595F44" w:rsidRDefault="00115032">
      <w:pPr>
        <w:pStyle w:val="Balk2"/>
      </w:pPr>
      <w:r>
        <w:lastRenderedPageBreak/>
        <w:t>Arıza Belirtileri ve Olası Nedenler</w:t>
      </w:r>
    </w:p>
    <w:tbl>
      <w:tblPr>
        <w:tblW w:w="0" w:type="auto"/>
        <w:jc w:val="center"/>
        <w:tblLayout w:type="fixed"/>
        <w:tblLook w:val="04A0" w:firstRow="1" w:lastRow="0" w:firstColumn="1" w:lastColumn="0" w:noHBand="0" w:noVBand="1"/>
      </w:tblPr>
      <w:tblGrid>
        <w:gridCol w:w="2448"/>
        <w:gridCol w:w="7776"/>
      </w:tblGrid>
      <w:tr w:rsidR="00595F44">
        <w:trPr>
          <w:cantSplit/>
          <w:tblHeader/>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10" w:type="dxa"/>
              <w:bottom w:w="110" w:type="dxa"/>
              <w:right w:w="110" w:type="dxa"/>
            </w:tcMar>
            <w:vAlign w:val="center"/>
          </w:tcPr>
          <w:p w:rsidR="00595F44" w:rsidRDefault="00115032">
            <w:pPr>
              <w:spacing w:after="0" w:line="252" w:lineRule="auto"/>
              <w:jc w:val="center"/>
              <w:rPr>
                <w:rFonts w:hint="eastAsia"/>
              </w:rPr>
            </w:pPr>
            <w:r>
              <w:rPr>
                <w:b/>
                <w:color w:val="FFFFFF"/>
                <w:sz w:val="18"/>
              </w:rPr>
              <w:t>Belirti</w:t>
            </w:r>
          </w:p>
        </w:tc>
        <w:tc>
          <w:tcPr>
            <w:tcW w:w="7776"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10" w:type="dxa"/>
              <w:bottom w:w="110" w:type="dxa"/>
              <w:right w:w="110" w:type="dxa"/>
            </w:tcMar>
            <w:vAlign w:val="center"/>
          </w:tcPr>
          <w:p w:rsidR="00595F44" w:rsidRDefault="00115032">
            <w:pPr>
              <w:spacing w:after="0" w:line="252" w:lineRule="auto"/>
              <w:jc w:val="center"/>
              <w:rPr>
                <w:rFonts w:hint="eastAsia"/>
              </w:rPr>
            </w:pPr>
            <w:r>
              <w:rPr>
                <w:b/>
                <w:color w:val="FFFFFF"/>
                <w:sz w:val="18"/>
              </w:rPr>
              <w:t>Muhtemel nedenler</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Diş kesilmesi</w:t>
            </w:r>
          </w:p>
        </w:tc>
        <w:tc>
          <w:tcPr>
            <w:tcW w:w="7776"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Aşırı yük, düşük gerginlik, yetersiz kavrama dişi, kasnak aşınması veya yanlış profil</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Kenar aşınması</w:t>
            </w:r>
          </w:p>
        </w:tc>
        <w:tc>
          <w:tcPr>
            <w:tcW w:w="7776"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Kasnak hizasızlığı, flanşa sürekli temas veya mil paralellik hatası</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Sırt çatlakları</w:t>
            </w:r>
          </w:p>
        </w:tc>
        <w:tc>
          <w:tcPr>
            <w:tcW w:w="7776"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Küçük kasnak, ters bükülme, yüksek sıcaklık veya yaşlanma</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Kord kopması</w:t>
            </w:r>
          </w:p>
        </w:tc>
        <w:tc>
          <w:tcPr>
            <w:tcW w:w="7776"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Darbe yükü, montaj sırasında zorlanma, yabancı cisim veya aşırı gerginlik</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Gürültü</w:t>
            </w:r>
          </w:p>
        </w:tc>
        <w:tc>
          <w:tcPr>
            <w:tcW w:w="7776"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rsidR="00595F44" w:rsidRDefault="00115032">
            <w:pPr>
              <w:spacing w:after="0" w:line="252" w:lineRule="auto"/>
              <w:rPr>
                <w:rFonts w:hint="eastAsia"/>
              </w:rPr>
            </w:pPr>
            <w:r>
              <w:rPr>
                <w:sz w:val="18"/>
              </w:rPr>
              <w:t>Yanlış gerginlik, hizasızlık, profil uyumsuzluğu veya kasnak salgısı</w:t>
            </w:r>
          </w:p>
        </w:tc>
      </w:tr>
      <w:tr w:rsidR="00595F44">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Düzensiz aşınma</w:t>
            </w:r>
          </w:p>
        </w:tc>
        <w:tc>
          <w:tcPr>
            <w:tcW w:w="7776" w:type="dxa"/>
            <w:tcBorders>
              <w:top w:val="single" w:sz="6" w:space="0" w:color="D9D9D9"/>
              <w:left w:val="single" w:sz="6" w:space="0" w:color="D9D9D9"/>
              <w:bottom w:val="single" w:sz="6" w:space="0" w:color="D9D9D9"/>
              <w:right w:val="single" w:sz="6" w:space="0" w:color="D9D9D9"/>
            </w:tcBorders>
            <w:shd w:val="clear" w:color="auto" w:fill="EEF3F8"/>
            <w:tcMar>
              <w:top w:w="110" w:type="dxa"/>
              <w:left w:w="110" w:type="dxa"/>
              <w:bottom w:w="110" w:type="dxa"/>
              <w:right w:w="110" w:type="dxa"/>
            </w:tcMar>
            <w:vAlign w:val="center"/>
          </w:tcPr>
          <w:p w:rsidR="00595F44" w:rsidRDefault="00115032">
            <w:pPr>
              <w:spacing w:after="0" w:line="252" w:lineRule="auto"/>
              <w:rPr>
                <w:rFonts w:hint="eastAsia"/>
              </w:rPr>
            </w:pPr>
            <w:r>
              <w:rPr>
                <w:sz w:val="18"/>
              </w:rPr>
              <w:t>Aşınmış kasnak, kirlenme, eksen kaçıklığı veya uygunsuz avara yerleşimi</w:t>
            </w:r>
          </w:p>
        </w:tc>
      </w:tr>
    </w:tbl>
    <w:p w:rsidR="00595F44" w:rsidRDefault="00595F44">
      <w:pPr>
        <w:spacing w:after="40"/>
        <w:rPr>
          <w:rFonts w:hint="eastAsia"/>
        </w:rPr>
      </w:pPr>
    </w:p>
    <w:p w:rsidR="00595F44" w:rsidRDefault="00115032">
      <w:pPr>
        <w:pStyle w:val="Balk1"/>
      </w:pPr>
      <w:r>
        <w:t>Uygulama Alanları</w:t>
      </w:r>
    </w:p>
    <w:p w:rsidR="00595F44" w:rsidRDefault="00115032">
      <w:pPr>
        <w:rPr>
          <w:rFonts w:hint="eastAsia"/>
        </w:rPr>
      </w:pPr>
      <w:r>
        <w:t>Sonsuz zaman kayışı; paketleme makineleri, tekstil makineleri, takım tezgâhları, gıda makineleri, ağaç işleme makineleri, kompresörler, pompalar, fanlar, konveyör yardımcı tahrikleri, baskı ve kâğıt makineleri, otomasyon sistemleri ve genel makine imalatında kullanılır. Nihai seçim uygulamanın yük ve ortam koşullarına göre yapılmalıdır.</w:t>
      </w:r>
    </w:p>
    <w:p w:rsidR="00595F44" w:rsidRDefault="00115032">
      <w:pPr>
        <w:pStyle w:val="Balk1"/>
      </w:pPr>
      <w:r>
        <w:t>Sık Sorulan Sorular</w:t>
      </w:r>
    </w:p>
    <w:p w:rsidR="00595F44" w:rsidRDefault="00115032">
      <w:pPr>
        <w:keepNext/>
        <w:rPr>
          <w:rFonts w:hint="eastAsia"/>
        </w:rPr>
      </w:pPr>
      <w:r>
        <w:rPr>
          <w:b/>
        </w:rPr>
        <w:t>Zaman kayışı neden kaymaz?</w:t>
      </w:r>
    </w:p>
    <w:p w:rsidR="00595F44" w:rsidRDefault="00115032">
      <w:pPr>
        <w:rPr>
          <w:rFonts w:hint="eastAsia"/>
        </w:rPr>
      </w:pPr>
      <w:r>
        <w:t>Kayış dişleri kasnak kanallarıyla pozitif olarak kavraşır. Güç yalnızca yüzey sürtünmesiyle aktarılmadığı için doğru tasarım ve gerginlikte hız oranı korunur.</w:t>
      </w:r>
    </w:p>
    <w:p w:rsidR="00595F44" w:rsidRDefault="00115032">
      <w:pPr>
        <w:keepNext/>
        <w:rPr>
          <w:rFonts w:hint="eastAsia"/>
        </w:rPr>
      </w:pPr>
      <w:r>
        <w:rPr>
          <w:b/>
        </w:rPr>
        <w:t>HTD 8M ile S8M aynı mıdır?</w:t>
      </w:r>
    </w:p>
    <w:p w:rsidR="00595F44" w:rsidRDefault="00115032">
      <w:pPr>
        <w:rPr>
          <w:rFonts w:hint="eastAsia"/>
        </w:rPr>
      </w:pPr>
      <w:r>
        <w:t>Hayır. Her ikisinin hatvesi 8 mm olabilir; ancak diş geometrileri farklıdır. Kayış ve kasnak profili birlikte doğrulanmalıdır.</w:t>
      </w:r>
    </w:p>
    <w:p w:rsidR="00595F44" w:rsidRDefault="00115032">
      <w:pPr>
        <w:keepNext/>
        <w:rPr>
          <w:rFonts w:hint="eastAsia"/>
        </w:rPr>
      </w:pPr>
      <w:r>
        <w:rPr>
          <w:b/>
        </w:rPr>
        <w:t>RPP 8M kayış HTD 8M kasnakta çalışır mı?</w:t>
      </w:r>
    </w:p>
    <w:p w:rsidR="00595F44" w:rsidRDefault="00115032">
      <w:pPr>
        <w:rPr>
          <w:rFonts w:hint="eastAsia"/>
        </w:rPr>
      </w:pPr>
      <w:r>
        <w:t>Bazı üreticiler belirli RPP profilleri için mevcut kasnaklarla uyumluluk açıklayabilir; fakat bu genelleme yapılamaz. Seçilen marka ve serinin üretici onayı esas alınmalıdır.</w:t>
      </w:r>
    </w:p>
    <w:p w:rsidR="00595F44" w:rsidRDefault="00115032">
      <w:pPr>
        <w:keepNext/>
        <w:rPr>
          <w:rFonts w:hint="eastAsia"/>
        </w:rPr>
      </w:pPr>
      <w:r>
        <w:rPr>
          <w:b/>
        </w:rPr>
        <w:t>Kayış genişliği nasıl seçilir?</w:t>
      </w:r>
    </w:p>
    <w:p w:rsidR="00595F44" w:rsidRDefault="00115032">
      <w:pPr>
        <w:rPr>
          <w:rFonts w:hint="eastAsia"/>
        </w:rPr>
      </w:pPr>
      <w:r>
        <w:t>Güç, devir, kasnak çapı, çalışma faktörü ve kavramadaki diş sayısı hesaplanarak seçilir. Sadece mevcut kayış genişliğini kopyalamak yeni tasarım için yeterli değildir.</w:t>
      </w:r>
    </w:p>
    <w:p w:rsidR="00595F44" w:rsidRDefault="00115032">
      <w:pPr>
        <w:keepNext/>
        <w:rPr>
          <w:rFonts w:hint="eastAsia"/>
        </w:rPr>
      </w:pPr>
      <w:r>
        <w:rPr>
          <w:b/>
        </w:rPr>
        <w:t>Sonsuz ve açık uçlu kayış arasındaki fark nedir?</w:t>
      </w:r>
    </w:p>
    <w:p w:rsidR="00595F44" w:rsidRDefault="00115032">
      <w:pPr>
        <w:rPr>
          <w:rFonts w:hint="eastAsia"/>
        </w:rPr>
      </w:pPr>
      <w:r>
        <w:t>Sonsuz kayış kapalı çevrim güç aktarımı için üretilir. Açık uçlu kayışlar çoğunlukla doğrusal hareket ve konumlandırma sistemlerinde kullanılır.</w:t>
      </w:r>
    </w:p>
    <w:p w:rsidR="00595F44" w:rsidRDefault="00115032">
      <w:pPr>
        <w:keepNext/>
        <w:rPr>
          <w:rFonts w:hint="eastAsia"/>
        </w:rPr>
      </w:pPr>
      <w:r>
        <w:rPr>
          <w:b/>
        </w:rPr>
        <w:t>Zaman kayışı yağlanır mı?</w:t>
      </w:r>
    </w:p>
    <w:p w:rsidR="00595F44" w:rsidRDefault="00115032">
      <w:pPr>
        <w:rPr>
          <w:rFonts w:hint="eastAsia"/>
        </w:rPr>
      </w:pPr>
      <w:r>
        <w:t>Hayır. Kauçuk zaman kayışları yağlama gerektirmez. Yağ veya kimyasal temasının uygunluğu seçilen ürünün teknik föyünden kontrol edilmelidir.</w:t>
      </w:r>
    </w:p>
    <w:sectPr w:rsidR="00595F44" w:rsidSect="00034616">
      <w:headerReference w:type="default" r:id="rId15"/>
      <w:footerReference w:type="default" r:id="rId16"/>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ADB" w:rsidRDefault="002B4ADB">
      <w:pPr>
        <w:spacing w:after="0" w:line="240" w:lineRule="auto"/>
        <w:rPr>
          <w:rFonts w:hint="eastAsia"/>
        </w:rPr>
      </w:pPr>
      <w:r>
        <w:separator/>
      </w:r>
    </w:p>
  </w:endnote>
  <w:endnote w:type="continuationSeparator" w:id="0">
    <w:p w:rsidR="002B4ADB" w:rsidRDefault="002B4AD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F44" w:rsidRDefault="00115032">
    <w:pPr>
      <w:pStyle w:val="AltBilgi"/>
      <w:jc w:val="center"/>
      <w:rPr>
        <w:rFonts w:hint="eastAsia"/>
      </w:rPr>
    </w:pPr>
    <w:r>
      <w:rPr>
        <w:color w:val="646464"/>
        <w:sz w:val="16"/>
      </w:rPr>
      <w:t>Sonsuz Zaman Kayışı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ADB" w:rsidRDefault="002B4ADB">
      <w:pPr>
        <w:spacing w:after="0" w:line="240" w:lineRule="auto"/>
        <w:rPr>
          <w:rFonts w:hint="eastAsia"/>
        </w:rPr>
      </w:pPr>
      <w:r>
        <w:separator/>
      </w:r>
    </w:p>
  </w:footnote>
  <w:footnote w:type="continuationSeparator" w:id="0">
    <w:p w:rsidR="002B4ADB" w:rsidRDefault="002B4AD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F44" w:rsidRDefault="00595F44">
    <w:pPr>
      <w:pStyle w:val="stBilgi"/>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5264"/>
    <w:rsid w:val="00115032"/>
    <w:rsid w:val="00117E4E"/>
    <w:rsid w:val="0015074B"/>
    <w:rsid w:val="00225B5B"/>
    <w:rsid w:val="0029639D"/>
    <w:rsid w:val="002B4ADB"/>
    <w:rsid w:val="00326F90"/>
    <w:rsid w:val="00595F44"/>
    <w:rsid w:val="005B61CD"/>
    <w:rsid w:val="0071066D"/>
    <w:rsid w:val="0079001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C1226F7-99B5-4AEE-87BA-843327049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69" w:lineRule="auto"/>
    </w:pPr>
    <w:rPr>
      <w:rFonts w:ascii="Aptos" w:hAnsi="Aptos"/>
      <w:color w:val="232323"/>
      <w:sz w:val="21"/>
    </w:rPr>
  </w:style>
  <w:style w:type="paragraph" w:styleId="Balk1">
    <w:name w:val="heading 1"/>
    <w:basedOn w:val="Normal"/>
    <w:next w:val="Normal"/>
    <w:link w:val="Balk1Char"/>
    <w:uiPriority w:val="9"/>
    <w:qFormat/>
    <w:rsid w:val="00FC693F"/>
    <w:pPr>
      <w:keepNext/>
      <w:keepLines/>
      <w:spacing w:before="260"/>
      <w:outlineLvl w:val="0"/>
    </w:pPr>
    <w:rPr>
      <w:rFonts w:asciiTheme="majorHAnsi" w:eastAsiaTheme="majorEastAsia" w:hAnsiTheme="majorHAnsi" w:cstheme="majorBidi"/>
      <w:b/>
      <w:bCs/>
      <w:color w:val="000000"/>
      <w:sz w:val="34"/>
      <w:szCs w:val="28"/>
    </w:rPr>
  </w:style>
  <w:style w:type="paragraph" w:styleId="Balk2">
    <w:name w:val="heading 2"/>
    <w:basedOn w:val="Normal"/>
    <w:next w:val="Normal"/>
    <w:link w:val="Balk2Char"/>
    <w:uiPriority w:val="9"/>
    <w:unhideWhenUsed/>
    <w:qFormat/>
    <w:rsid w:val="00FC693F"/>
    <w:pPr>
      <w:keepNext/>
      <w:keepLines/>
      <w:spacing w:before="260"/>
      <w:outlineLvl w:val="1"/>
    </w:pPr>
    <w:rPr>
      <w:rFonts w:asciiTheme="majorHAnsi" w:eastAsiaTheme="majorEastAsia" w:hAnsiTheme="majorHAnsi" w:cstheme="majorBidi"/>
      <w:b/>
      <w:bCs/>
      <w:color w:val="000000"/>
      <w:sz w:val="26"/>
      <w:szCs w:val="26"/>
    </w:rPr>
  </w:style>
  <w:style w:type="paragraph" w:styleId="Balk3">
    <w:name w:val="heading 3"/>
    <w:basedOn w:val="Normal"/>
    <w:next w:val="Normal"/>
    <w:link w:val="Balk3Char"/>
    <w:uiPriority w:val="9"/>
    <w:unhideWhenUsed/>
    <w:qFormat/>
    <w:rsid w:val="00FC693F"/>
    <w:pPr>
      <w:keepNext/>
      <w:keepLines/>
      <w:spacing w:before="260"/>
      <w:outlineLvl w:val="2"/>
    </w:pPr>
    <w:rPr>
      <w:rFonts w:asciiTheme="majorHAnsi" w:eastAsiaTheme="majorEastAsia" w:hAnsiTheme="majorHAnsi" w:cstheme="majorBidi"/>
      <w:b/>
      <w:bCs/>
      <w:color w:val="000000"/>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spacing w:line="240" w:lineRule="auto"/>
      <w:contextualSpacing/>
    </w:pPr>
    <w:rPr>
      <w:rFonts w:asciiTheme="majorHAnsi" w:eastAsiaTheme="majorEastAsia" w:hAnsiTheme="majorHAnsi" w:cstheme="majorBidi"/>
      <w:b/>
      <w:color w:val="000000"/>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2485B-A09E-4675-86AA-B6FFB0ED7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Sonsuz Zaman Kayışı Web İçeriği</dc:title>
  <dc:subject>Teknik ürün sayfası metni ve profil rehberi</dc:subject>
  <dc:creator>ProBelt</dc:creator>
  <cp:keywords/>
  <dc:description>generated by python-docx</dc:description>
  <cp:lastModifiedBy>user</cp:lastModifiedBy>
  <cp:revision>5</cp:revision>
  <dcterms:created xsi:type="dcterms:W3CDTF">2013-12-23T23:15:00Z</dcterms:created>
  <dcterms:modified xsi:type="dcterms:W3CDTF">2026-09-19T14:32:00Z</dcterms:modified>
  <cp:category/>
</cp:coreProperties>
</file>